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tblLook w:val="04A0" w:firstRow="1" w:lastRow="0" w:firstColumn="1" w:lastColumn="0" w:noHBand="0" w:noVBand="1"/>
      </w:tblPr>
      <w:tblGrid>
        <w:gridCol w:w="3168"/>
        <w:gridCol w:w="6486"/>
      </w:tblGrid>
      <w:tr w:rsidR="00727171" w:rsidRPr="00372DA8" w14:paraId="3F9490EF" w14:textId="77777777" w:rsidTr="001734B9">
        <w:tc>
          <w:tcPr>
            <w:tcW w:w="3168" w:type="dxa"/>
          </w:tcPr>
          <w:p w14:paraId="12CF5EF9" w14:textId="589A6FC9" w:rsidR="00727171" w:rsidRPr="00372DA8" w:rsidRDefault="00727171" w:rsidP="0065286F">
            <w:pPr>
              <w:jc w:val="center"/>
              <w:rPr>
                <w:rFonts w:asciiTheme="majorHAnsi" w:eastAsia="Calibri" w:hAnsiTheme="majorHAnsi" w:cstheme="majorHAnsi"/>
                <w:szCs w:val="28"/>
                <w:highlight w:val="white"/>
              </w:rPr>
            </w:pPr>
            <w:bookmarkStart w:id="0" w:name="chuong_pl_3_2"/>
            <w:r w:rsidRPr="00372DA8">
              <w:rPr>
                <w:rFonts w:asciiTheme="majorHAnsi" w:hAnsiTheme="majorHAnsi" w:cstheme="majorHAnsi"/>
                <w:b/>
                <w:bCs/>
                <w:sz w:val="26"/>
                <w:szCs w:val="26"/>
                <w:highlight w:val="white"/>
                <w:lang w:eastAsia="vi-VN"/>
              </w:rPr>
              <w:br w:type="page"/>
            </w:r>
            <w:r w:rsidRPr="00372DA8">
              <w:rPr>
                <w:rFonts w:asciiTheme="majorHAnsi" w:eastAsia="Calibri" w:hAnsiTheme="majorHAnsi" w:cstheme="majorHAnsi"/>
                <w:szCs w:val="28"/>
                <w:highlight w:val="white"/>
              </w:rPr>
              <w:t>BỘ Y TẾ</w:t>
            </w:r>
          </w:p>
          <w:p w14:paraId="387B3EC1" w14:textId="78BDD52B" w:rsidR="00727171" w:rsidRPr="00372DA8" w:rsidRDefault="00727171" w:rsidP="0065286F">
            <w:pPr>
              <w:jc w:val="center"/>
              <w:rPr>
                <w:rFonts w:asciiTheme="majorHAnsi" w:eastAsia="Calibri" w:hAnsiTheme="majorHAnsi" w:cstheme="majorHAnsi"/>
                <w:b/>
                <w:szCs w:val="28"/>
                <w:highlight w:val="white"/>
              </w:rPr>
            </w:pPr>
            <w:r w:rsidRPr="00372DA8">
              <w:rPr>
                <w:rFonts w:asciiTheme="majorHAnsi" w:eastAsia="Calibri" w:hAnsiTheme="majorHAnsi" w:cstheme="majorHAnsi"/>
                <w:b/>
                <w:szCs w:val="28"/>
                <w:highlight w:val="white"/>
              </w:rPr>
              <w:t>CỤC QUẢN LÝ DƯỢC</w:t>
            </w:r>
          </w:p>
        </w:tc>
        <w:tc>
          <w:tcPr>
            <w:tcW w:w="6486" w:type="dxa"/>
          </w:tcPr>
          <w:p w14:paraId="6B234791" w14:textId="77777777" w:rsidR="00727171" w:rsidRPr="00372DA8" w:rsidRDefault="00727171" w:rsidP="0065286F">
            <w:pPr>
              <w:jc w:val="center"/>
              <w:rPr>
                <w:rFonts w:asciiTheme="majorHAnsi" w:eastAsia="Calibri" w:hAnsiTheme="majorHAnsi" w:cstheme="majorHAnsi"/>
                <w:b/>
                <w:szCs w:val="28"/>
                <w:highlight w:val="white"/>
              </w:rPr>
            </w:pPr>
            <w:r w:rsidRPr="00372DA8">
              <w:rPr>
                <w:rFonts w:asciiTheme="majorHAnsi" w:eastAsia="Calibri" w:hAnsiTheme="majorHAnsi" w:cstheme="majorHAnsi"/>
                <w:b/>
                <w:szCs w:val="28"/>
                <w:highlight w:val="white"/>
              </w:rPr>
              <w:t>CỘNG HÒA XÃ HỘI CHỦ NGHĨA VIỆT NAM</w:t>
            </w:r>
          </w:p>
          <w:p w14:paraId="437D78EA" w14:textId="77777777" w:rsidR="00727171" w:rsidRPr="00372DA8" w:rsidRDefault="00727171" w:rsidP="0065286F">
            <w:pPr>
              <w:jc w:val="center"/>
              <w:rPr>
                <w:rFonts w:asciiTheme="majorHAnsi" w:eastAsia="Calibri" w:hAnsiTheme="majorHAnsi" w:cstheme="majorHAnsi"/>
                <w:szCs w:val="28"/>
                <w:highlight w:val="white"/>
              </w:rPr>
            </w:pPr>
            <w:r w:rsidRPr="00372DA8">
              <w:rPr>
                <w:rFonts w:asciiTheme="majorHAnsi" w:eastAsia="Calibri" w:hAnsiTheme="majorHAnsi" w:cstheme="majorHAnsi"/>
                <w:b/>
                <w:szCs w:val="28"/>
                <w:highlight w:val="white"/>
              </w:rPr>
              <w:t>Độc lập - Tự do - Hạnh phúc</w:t>
            </w:r>
          </w:p>
        </w:tc>
      </w:tr>
      <w:tr w:rsidR="00727171" w:rsidRPr="00372DA8" w14:paraId="0B3337F6" w14:textId="77777777" w:rsidTr="001734B9">
        <w:tc>
          <w:tcPr>
            <w:tcW w:w="3168" w:type="dxa"/>
          </w:tcPr>
          <w:p w14:paraId="4188F831" w14:textId="69685CEE" w:rsidR="00727171" w:rsidRPr="00372DA8" w:rsidRDefault="003C7E2D" w:rsidP="00816FCE">
            <w:pPr>
              <w:spacing w:before="60" w:line="330" w:lineRule="exact"/>
              <w:rPr>
                <w:rFonts w:asciiTheme="majorHAnsi" w:eastAsia="Calibri" w:hAnsiTheme="majorHAnsi" w:cstheme="majorHAnsi"/>
                <w:szCs w:val="28"/>
                <w:highlight w:val="white"/>
              </w:rPr>
            </w:pPr>
            <w:r w:rsidRPr="00372DA8">
              <w:rPr>
                <w:rFonts w:asciiTheme="majorHAnsi" w:eastAsia="Calibri" w:hAnsiTheme="majorHAnsi" w:cstheme="majorHAnsi"/>
                <w:noProof/>
                <w:szCs w:val="28"/>
                <w:highlight w:val="white"/>
              </w:rPr>
              <mc:AlternateContent>
                <mc:Choice Requires="wps">
                  <w:drawing>
                    <wp:anchor distT="0" distB="0" distL="114300" distR="114300" simplePos="0" relativeHeight="251660288" behindDoc="0" locked="0" layoutInCell="1" allowOverlap="1" wp14:anchorId="559E3C79" wp14:editId="34C6BAD6">
                      <wp:simplePos x="0" y="0"/>
                      <wp:positionH relativeFrom="column">
                        <wp:posOffset>494385</wp:posOffset>
                      </wp:positionH>
                      <wp:positionV relativeFrom="paragraph">
                        <wp:posOffset>20041</wp:posOffset>
                      </wp:positionV>
                      <wp:extent cx="781050" cy="0"/>
                      <wp:effectExtent l="9525" t="6350" r="952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A2583B0" id="_x0000_t32" coordsize="21600,21600" o:spt="32" o:oned="t" path="m,l21600,21600e" filled="f">
                      <v:path arrowok="t" fillok="f" o:connecttype="none"/>
                      <o:lock v:ext="edit" shapetype="t"/>
                    </v:shapetype>
                    <v:shape id="AutoShape 5" o:spid="_x0000_s1026" type="#_x0000_t32" style="position:absolute;margin-left:38.95pt;margin-top:1.6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7o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nWTo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QMuti9kAAAAGAQAADwAAAGRycy9kb3ducmV2LnhtbEyOwU7DMBBE&#10;70j8g7VIXBB1GgSlaZyqQuLAkbYS1228TQLxOoqdJvTrWbjQ49OMZl6+nlyrTtSHxrOB+SwBRVx6&#10;23BlYL97vX8GFSKyxdYzGfimAOvi+irHzPqR3+m0jZWSEQ4ZGqhj7DKtQ1mTwzDzHbFkR987jIJ9&#10;pW2Po4y7VqdJ8qQdNiwPNXb0UlP5tR2cAQrD4zzZLF21fzuPdx/p+XPsdsbc3kybFahIU/wvw6++&#10;qEMhTgc/sA2qNbBYLKVp4CEFJbGcCR/+WBe5vtQvfgAAAP//AwBQSwECLQAUAAYACAAAACEAtoM4&#10;kv4AAADhAQAAEwAAAAAAAAAAAAAAAAAAAAAAW0NvbnRlbnRfVHlwZXNdLnhtbFBLAQItABQABgAI&#10;AAAAIQA4/SH/1gAAAJQBAAALAAAAAAAAAAAAAAAAAC8BAABfcmVscy8ucmVsc1BLAQItABQABgAI&#10;AAAAIQDUyx7oHgIAADoEAAAOAAAAAAAAAAAAAAAAAC4CAABkcnMvZTJvRG9jLnhtbFBLAQItABQA&#10;BgAIAAAAIQBAy62L2QAAAAYBAAAPAAAAAAAAAAAAAAAAAHgEAABkcnMvZG93bnJldi54bWxQSwUG&#10;AAAAAAQABADzAAAAfgUAAAAA&#10;"/>
                  </w:pict>
                </mc:Fallback>
              </mc:AlternateContent>
            </w:r>
            <w:r w:rsidR="00727171" w:rsidRPr="00372DA8">
              <w:rPr>
                <w:rFonts w:asciiTheme="majorHAnsi" w:eastAsia="Calibri" w:hAnsiTheme="majorHAnsi" w:cstheme="majorHAnsi"/>
                <w:szCs w:val="28"/>
                <w:highlight w:val="white"/>
              </w:rPr>
              <w:t xml:space="preserve"> </w:t>
            </w:r>
          </w:p>
        </w:tc>
        <w:tc>
          <w:tcPr>
            <w:tcW w:w="6486" w:type="dxa"/>
          </w:tcPr>
          <w:p w14:paraId="3EA641B3" w14:textId="45DFF5D1" w:rsidR="00727171" w:rsidRPr="00372DA8" w:rsidRDefault="00727171" w:rsidP="0065286F">
            <w:pPr>
              <w:spacing w:before="240" w:line="330" w:lineRule="exact"/>
              <w:jc w:val="center"/>
              <w:rPr>
                <w:rFonts w:asciiTheme="majorHAnsi" w:eastAsia="Calibri" w:hAnsiTheme="majorHAnsi" w:cstheme="majorHAnsi"/>
                <w:i/>
                <w:szCs w:val="28"/>
                <w:highlight w:val="white"/>
              </w:rPr>
            </w:pPr>
            <w:r w:rsidRPr="00372DA8">
              <w:rPr>
                <w:rFonts w:asciiTheme="majorHAnsi" w:eastAsia="Calibri" w:hAnsiTheme="majorHAnsi" w:cstheme="majorHAnsi"/>
                <w:i/>
                <w:noProof/>
                <w:szCs w:val="28"/>
                <w:highlight w:val="white"/>
              </w:rPr>
              <mc:AlternateContent>
                <mc:Choice Requires="wps">
                  <w:drawing>
                    <wp:anchor distT="0" distB="0" distL="114300" distR="114300" simplePos="0" relativeHeight="251659264" behindDoc="0" locked="0" layoutInCell="1" allowOverlap="1" wp14:anchorId="6184C8C2" wp14:editId="3E16A3E7">
                      <wp:simplePos x="0" y="0"/>
                      <wp:positionH relativeFrom="column">
                        <wp:posOffset>969645</wp:posOffset>
                      </wp:positionH>
                      <wp:positionV relativeFrom="paragraph">
                        <wp:posOffset>-1905</wp:posOffset>
                      </wp:positionV>
                      <wp:extent cx="2028825" cy="0"/>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F9F585" id="AutoShape 3" o:spid="_x0000_s1026" type="#_x0000_t32" style="position:absolute;margin-left:76.35pt;margin-top:-.15pt;width:1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DlHA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6C6UZzCuAKtK7WxIkJ7Us3nS9IdDSlcdUS2Pxi9nA75Z8EjeuISLMxBkP3zRDGwI4Mda&#10;nRrbB0ioAjrFlpxvLeEnjyg85mm+WORzjOioS0gxOhrr/GeuexSEEjtviWg7X2mloPHaZjEMOT45&#10;H2iRYnQIUZXeCilj/6VCQ4mXc4gTNE5LwYIyXmy7r6RFRxImKH4xx3dmVh8Ui2AdJ2xzlT0R8iJD&#10;cKkCHiQGdK7SZUR+LtPlZrFZzCaz/H4zmaV1PXncVrPJ/Tb7NK/v6qqqs1+BWjYrOsEYV4HdOK7Z&#10;7O/G4bo4l0G7DeytDMlb9FgvIDv+I+nY2dDMy1jsNTvv7NhxmNBofN2msAKv7yC/3vn1bwAAAP//&#10;AwBQSwMEFAAGAAgAAAAhANHQbCLbAAAABwEAAA8AAABkcnMvZG93bnJldi54bWxMjsFOwzAQRO9I&#10;/QdrkXpBrVOXUghxqgqpB460lbi68ZIE4nUUO03o17NwKcenGc28bDO6RpyxC7UnDYt5AgKp8Lam&#10;UsPxsJs9ggjRkDWNJ9TwjQE2+eQmM6n1A73heR9LwSMUUqOhirFNpQxFhc6EuW+ROPvwnTORsSul&#10;7czA466RKkkepDM18UNlWnypsPja904Dhn61SLZPrjy+Xoa7d3X5HNqD1tPbcfsMIuIYr2X41Wd1&#10;yNnp5HuyQTTMK7XmqobZEgTn92ulQJz+WOaZ/O+f/wAAAP//AwBQSwECLQAUAAYACAAAACEAtoM4&#10;kv4AAADhAQAAEwAAAAAAAAAAAAAAAAAAAAAAW0NvbnRlbnRfVHlwZXNdLnhtbFBLAQItABQABgAI&#10;AAAAIQA4/SH/1gAAAJQBAAALAAAAAAAAAAAAAAAAAC8BAABfcmVscy8ucmVsc1BLAQItABQABgAI&#10;AAAAIQBZYZDlHAIAADsEAAAOAAAAAAAAAAAAAAAAAC4CAABkcnMvZTJvRG9jLnhtbFBLAQItABQA&#10;BgAIAAAAIQDR0Gwi2wAAAAcBAAAPAAAAAAAAAAAAAAAAAHYEAABkcnMvZG93bnJldi54bWxQSwUG&#10;AAAAAAQABADzAAAAfgUAAAAA&#10;"/>
                  </w:pict>
                </mc:Fallback>
              </mc:AlternateContent>
            </w:r>
            <w:r w:rsidRPr="00372DA8">
              <w:rPr>
                <w:rFonts w:asciiTheme="majorHAnsi" w:eastAsia="Calibri" w:hAnsiTheme="majorHAnsi" w:cstheme="majorHAnsi"/>
                <w:i/>
                <w:szCs w:val="28"/>
                <w:highlight w:val="white"/>
              </w:rPr>
              <w:t xml:space="preserve">Hà Nội, ngày   </w:t>
            </w:r>
            <w:r w:rsidR="003C7E2D" w:rsidRPr="00372DA8">
              <w:rPr>
                <w:rFonts w:asciiTheme="majorHAnsi" w:eastAsia="Calibri" w:hAnsiTheme="majorHAnsi" w:cstheme="majorHAnsi"/>
                <w:i/>
                <w:szCs w:val="28"/>
                <w:highlight w:val="white"/>
              </w:rPr>
              <w:t xml:space="preserve"> </w:t>
            </w:r>
            <w:r w:rsidRPr="00372DA8">
              <w:rPr>
                <w:rFonts w:asciiTheme="majorHAnsi" w:eastAsia="Calibri" w:hAnsiTheme="majorHAnsi" w:cstheme="majorHAnsi"/>
                <w:i/>
                <w:szCs w:val="28"/>
                <w:highlight w:val="white"/>
              </w:rPr>
              <w:t xml:space="preserve">   tháng   </w:t>
            </w:r>
            <w:r w:rsidR="003C7E2D" w:rsidRPr="00372DA8">
              <w:rPr>
                <w:rFonts w:asciiTheme="majorHAnsi" w:eastAsia="Calibri" w:hAnsiTheme="majorHAnsi" w:cstheme="majorHAnsi"/>
                <w:i/>
                <w:szCs w:val="28"/>
                <w:highlight w:val="white"/>
              </w:rPr>
              <w:t xml:space="preserve"> </w:t>
            </w:r>
            <w:r w:rsidRPr="00372DA8">
              <w:rPr>
                <w:rFonts w:asciiTheme="majorHAnsi" w:eastAsia="Calibri" w:hAnsiTheme="majorHAnsi" w:cstheme="majorHAnsi"/>
                <w:i/>
                <w:szCs w:val="28"/>
                <w:highlight w:val="white"/>
              </w:rPr>
              <w:t xml:space="preserve">    năm 2025</w:t>
            </w:r>
          </w:p>
        </w:tc>
      </w:tr>
    </w:tbl>
    <w:p w14:paraId="46F69A3B" w14:textId="77777777" w:rsidR="00727171" w:rsidRPr="00372DA8" w:rsidRDefault="00727171" w:rsidP="00816FCE">
      <w:pPr>
        <w:spacing w:before="60" w:line="330" w:lineRule="exact"/>
        <w:rPr>
          <w:rFonts w:asciiTheme="majorHAnsi" w:eastAsia="Calibri" w:hAnsiTheme="majorHAnsi" w:cstheme="majorHAnsi"/>
          <w:szCs w:val="28"/>
          <w:highlight w:val="white"/>
        </w:rPr>
      </w:pPr>
    </w:p>
    <w:p w14:paraId="5E174A5B" w14:textId="187668CA" w:rsidR="00727171" w:rsidRPr="00816FCE" w:rsidRDefault="00E16BB2" w:rsidP="00816FCE">
      <w:pPr>
        <w:spacing w:before="60"/>
        <w:jc w:val="center"/>
        <w:rPr>
          <w:rFonts w:asciiTheme="majorHAnsi" w:hAnsiTheme="majorHAnsi" w:cstheme="majorHAnsi"/>
          <w:b/>
          <w:iCs/>
          <w:sz w:val="26"/>
          <w:szCs w:val="28"/>
          <w:highlight w:val="white"/>
          <w:shd w:val="clear" w:color="auto" w:fill="FFFFFF"/>
        </w:rPr>
      </w:pPr>
      <w:r w:rsidRPr="00816FCE">
        <w:rPr>
          <w:rFonts w:asciiTheme="majorHAnsi" w:hAnsiTheme="majorHAnsi" w:cstheme="majorHAnsi"/>
          <w:b/>
          <w:bCs/>
          <w:sz w:val="26"/>
          <w:szCs w:val="28"/>
          <w:highlight w:val="white"/>
        </w:rPr>
        <w:t xml:space="preserve">BẢN ĐÁNH GIÁ THỦ TỤC HÀNH CHÍNH, VIỆC PHÂN QUYỀN, PHÂN CẤP, BẢO ĐẢM BÌNH ĐẲNG GIỚI, VIỆC THỰC HIỆN CHÍNH SÁCH DÂN TỘC TRONG DỰ THẢO </w:t>
      </w:r>
      <w:r w:rsidR="00727171" w:rsidRPr="00816FCE">
        <w:rPr>
          <w:rFonts w:asciiTheme="majorHAnsi" w:eastAsia="Arial" w:hAnsiTheme="majorHAnsi" w:cstheme="majorHAnsi"/>
          <w:b/>
          <w:sz w:val="26"/>
          <w:szCs w:val="28"/>
          <w:highlight w:val="white"/>
        </w:rPr>
        <w:t xml:space="preserve">THÔNG TƯ </w:t>
      </w:r>
      <w:r w:rsidR="00727171" w:rsidRPr="00816FCE">
        <w:rPr>
          <w:rFonts w:asciiTheme="majorHAnsi" w:hAnsiTheme="majorHAnsi" w:cstheme="majorHAnsi"/>
          <w:b/>
          <w:iCs/>
          <w:sz w:val="26"/>
          <w:szCs w:val="28"/>
          <w:highlight w:val="white"/>
          <w:shd w:val="clear" w:color="auto" w:fill="FFFFFF"/>
        </w:rPr>
        <w:t>QUY ĐỊNH CHI TIẾT MỘT SỐ ĐIỀU VỀ KINH DOANH DƯỢC CỦA </w:t>
      </w:r>
      <w:hyperlink r:id="rId8" w:tgtFrame="_blank" w:history="1">
        <w:r w:rsidR="00727171" w:rsidRPr="00816FCE">
          <w:rPr>
            <w:rFonts w:asciiTheme="majorHAnsi" w:hAnsiTheme="majorHAnsi" w:cstheme="majorHAnsi"/>
            <w:b/>
            <w:iCs/>
            <w:sz w:val="26"/>
            <w:szCs w:val="28"/>
            <w:highlight w:val="white"/>
            <w:shd w:val="clear" w:color="auto" w:fill="FFFFFF"/>
          </w:rPr>
          <w:t>LUẬT DƯỢC</w:t>
        </w:r>
      </w:hyperlink>
      <w:r w:rsidR="00727171" w:rsidRPr="00816FCE">
        <w:rPr>
          <w:rFonts w:asciiTheme="majorHAnsi" w:hAnsiTheme="majorHAnsi" w:cstheme="majorHAnsi"/>
          <w:b/>
          <w:iCs/>
          <w:sz w:val="26"/>
          <w:szCs w:val="28"/>
          <w:highlight w:val="white"/>
          <w:u w:color="FF0000"/>
          <w:shd w:val="clear" w:color="auto" w:fill="FFFFFF"/>
        </w:rPr>
        <w:t> VÀ</w:t>
      </w:r>
      <w:r w:rsidR="00727171" w:rsidRPr="00816FCE">
        <w:rPr>
          <w:rFonts w:asciiTheme="majorHAnsi" w:hAnsiTheme="majorHAnsi" w:cstheme="majorHAnsi"/>
          <w:b/>
          <w:iCs/>
          <w:sz w:val="26"/>
          <w:szCs w:val="28"/>
          <w:highlight w:val="white"/>
          <w:shd w:val="clear" w:color="auto" w:fill="FFFFFF"/>
        </w:rPr>
        <w:t xml:space="preserve"> NGHỊ ĐỊNH SỐ </w:t>
      </w:r>
      <w:hyperlink r:id="rId9" w:tgtFrame="_blank" w:history="1">
        <w:r w:rsidR="00727171" w:rsidRPr="00816FCE">
          <w:rPr>
            <w:rFonts w:asciiTheme="majorHAnsi" w:hAnsiTheme="majorHAnsi" w:cstheme="majorHAnsi"/>
            <w:b/>
            <w:iCs/>
            <w:sz w:val="26"/>
            <w:szCs w:val="28"/>
            <w:highlight w:val="white"/>
            <w:shd w:val="clear" w:color="auto" w:fill="FFFFFF"/>
          </w:rPr>
          <w:t>54/2017/NĐ-CP</w:t>
        </w:r>
      </w:hyperlink>
      <w:r w:rsidR="00727171" w:rsidRPr="00816FCE">
        <w:rPr>
          <w:rFonts w:asciiTheme="majorHAnsi" w:hAnsiTheme="majorHAnsi" w:cstheme="majorHAnsi"/>
          <w:b/>
          <w:iCs/>
          <w:sz w:val="26"/>
          <w:szCs w:val="28"/>
          <w:highlight w:val="white"/>
          <w:shd w:val="clear" w:color="auto" w:fill="FFFFFF"/>
        </w:rPr>
        <w:t xml:space="preserve">  NGÀY 08 THÁNG 5 NĂM 2017 CỦA CHÍNH PHỦ QUY ĐỊNH CHI TIẾT MỘT SỐ ĐIỀU VÀ BIỆN PHÁP THI HÀNH </w:t>
      </w:r>
      <w:hyperlink r:id="rId10" w:tgtFrame="_blank" w:history="1">
        <w:r w:rsidR="00727171" w:rsidRPr="00816FCE">
          <w:rPr>
            <w:rFonts w:asciiTheme="majorHAnsi" w:hAnsiTheme="majorHAnsi" w:cstheme="majorHAnsi"/>
            <w:b/>
            <w:iCs/>
            <w:sz w:val="26"/>
            <w:szCs w:val="28"/>
            <w:highlight w:val="white"/>
            <w:u w:color="FF0000"/>
            <w:shd w:val="clear" w:color="auto" w:fill="FFFFFF"/>
          </w:rPr>
          <w:t>LUẬT DƯỢC</w:t>
        </w:r>
      </w:hyperlink>
    </w:p>
    <w:p w14:paraId="4800BB4C" w14:textId="40932045" w:rsidR="00A6590D" w:rsidRPr="00372DA8" w:rsidRDefault="003C7E2D" w:rsidP="00816FCE">
      <w:pPr>
        <w:spacing w:before="60" w:line="340" w:lineRule="exact"/>
        <w:ind w:firstLine="709"/>
        <w:jc w:val="both"/>
        <w:rPr>
          <w:rFonts w:asciiTheme="majorHAnsi" w:eastAsia="Arial" w:hAnsiTheme="majorHAnsi" w:cstheme="majorHAnsi"/>
          <w:szCs w:val="28"/>
          <w:highlight w:val="white"/>
        </w:rPr>
      </w:pPr>
      <w:r w:rsidRPr="00372DA8">
        <w:rPr>
          <w:rFonts w:asciiTheme="majorHAnsi" w:eastAsia="Arial" w:hAnsiTheme="majorHAnsi" w:cstheme="majorHAnsi"/>
          <w:noProof/>
          <w:szCs w:val="28"/>
          <w:highlight w:val="white"/>
        </w:rPr>
        <mc:AlternateContent>
          <mc:Choice Requires="wps">
            <w:drawing>
              <wp:anchor distT="0" distB="0" distL="114300" distR="114300" simplePos="0" relativeHeight="251661312" behindDoc="0" locked="0" layoutInCell="1" allowOverlap="1" wp14:anchorId="47284EEA" wp14:editId="104756C6">
                <wp:simplePos x="0" y="0"/>
                <wp:positionH relativeFrom="margin">
                  <wp:posOffset>1516761</wp:posOffset>
                </wp:positionH>
                <wp:positionV relativeFrom="paragraph">
                  <wp:posOffset>76351</wp:posOffset>
                </wp:positionV>
                <wp:extent cx="2691994" cy="0"/>
                <wp:effectExtent l="0" t="0" r="32385" b="19050"/>
                <wp:wrapNone/>
                <wp:docPr id="1" name="Straight Connector 1"/>
                <wp:cNvGraphicFramePr/>
                <a:graphic xmlns:a="http://schemas.openxmlformats.org/drawingml/2006/main">
                  <a:graphicData uri="http://schemas.microsoft.com/office/word/2010/wordprocessingShape">
                    <wps:wsp>
                      <wps:cNvCnPr/>
                      <wps:spPr>
                        <a:xfrm flipV="1">
                          <a:off x="0" y="0"/>
                          <a:ext cx="26919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E8AA25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45pt,6pt" to="33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h5vQEAAMEDAAAOAAAAZHJzL2Uyb0RvYy54bWysU02v0zAQvCPxHyzfadoKPdGo6Tv0CS4I&#10;Kh5w93PWjYXttdamaf89a6cNiA8JIS5WbM/M7ow32/uzd+IElCyGTq4WSykgaOxtOHby08fXL15J&#10;kbIKvXIYoJMXSPJ+9/zZdowtrHFA1wMJFgmpHWMnh5xj2zRJD+BVWmCEwJcGyavMWzo2PamR1b1r&#10;1svlXTMi9ZFQQ0p8+jBdyl3VNwZ0fm9MgixcJ7m3XFeq61NZm91WtUdScbD62ob6hy68soGLzlIP&#10;KivxlewvUt5qwoQmLzT6Bo2xGqoHdrNa/uTmcVARqhcOJ8U5pvT/ZPW704GE7fntpAjK8xM9ZlL2&#10;OGSxxxA4QCSxKjmNMbUM34cDXXcpHqiYPhvywjgbPxeZcsLGxLmmfJlThnMWmg/Xd5vVZvNSCn27&#10;ayaJQoyU8htAL8pHJ50NJQDVqtPblLksQ28Q3pSWpibqV744KGAXPoBhU1xsaqeOE+wdiZPiQei/&#10;VEOsVZGFYqxzM2lZS/6RdMUWGtQR+1vijK4VMeSZ6G1A+l3VfL61aib8zfXktdh+wv5Sn6TGwXNS&#10;U7rOdBnEH/eV/v3P230DAAD//wMAUEsDBBQABgAIAAAAIQDq4pQi2gAAAAkBAAAPAAAAZHJzL2Rv&#10;d25yZXYueG1sTI/BTsMwEETvSPyDtUjcqE1QQwlxqlIJcabl0tsmXpKIeB1itw1/zyIOcNyZp9mZ&#10;cj37QZ1oin1gC7cLA4q4Ca7n1sLb/vlmBSomZIdDYLLwRRHW1eVFiYULZ36l0y61SkI4FmihS2ks&#10;tI5NRx7jIozE4r2HyWOSc2q1m/As4X7QmTG59tizfOhwpG1Hzcfu6C3sX7yZ69RviT/vzebwtMz5&#10;sLT2+mrePIJKNKc/GH7qS3WopFMdjuyiGixkd6sHQcXIZJMAeZ7JlvpX0FWp/y+ovgEAAP//AwBQ&#10;SwECLQAUAAYACAAAACEAtoM4kv4AAADhAQAAEwAAAAAAAAAAAAAAAAAAAAAAW0NvbnRlbnRfVHlw&#10;ZXNdLnhtbFBLAQItABQABgAIAAAAIQA4/SH/1gAAAJQBAAALAAAAAAAAAAAAAAAAAC8BAABfcmVs&#10;cy8ucmVsc1BLAQItABQABgAIAAAAIQBYYgh5vQEAAMEDAAAOAAAAAAAAAAAAAAAAAC4CAABkcnMv&#10;ZTJvRG9jLnhtbFBLAQItABQABgAIAAAAIQDq4pQi2gAAAAkBAAAPAAAAAAAAAAAAAAAAABcEAABk&#10;cnMvZG93bnJldi54bWxQSwUGAAAAAAQABADzAAAAHgUAAAAA&#10;" strokecolor="black [3200]" strokeweight=".5pt">
                <v:stroke joinstyle="miter"/>
                <w10:wrap anchorx="margin"/>
              </v:line>
            </w:pict>
          </mc:Fallback>
        </mc:AlternateContent>
      </w:r>
    </w:p>
    <w:p w14:paraId="78C5C9FB" w14:textId="0981D438" w:rsidR="00727171" w:rsidRPr="00816FCE" w:rsidRDefault="00727171" w:rsidP="00816FCE">
      <w:pPr>
        <w:spacing w:before="60" w:line="360" w:lineRule="exact"/>
        <w:ind w:firstLine="709"/>
        <w:jc w:val="both"/>
        <w:rPr>
          <w:rFonts w:asciiTheme="majorHAnsi" w:hAnsiTheme="majorHAnsi" w:cstheme="majorHAnsi"/>
          <w:szCs w:val="28"/>
          <w:highlight w:val="white"/>
          <w:lang w:val="pt-BR"/>
        </w:rPr>
      </w:pPr>
      <w:r w:rsidRPr="00816FCE">
        <w:rPr>
          <w:rFonts w:asciiTheme="majorHAnsi" w:eastAsia="Arial" w:hAnsiTheme="majorHAnsi" w:cstheme="majorHAnsi"/>
          <w:szCs w:val="28"/>
          <w:highlight w:val="white"/>
        </w:rPr>
        <w:t xml:space="preserve">Thực hiện quy định của Luật Ban hành văn bản quy phạm pháp luật, Cục Quản lý Dược đã tiến hành đánh giá thủ tục hành chính, việc phân quyền, phân cấp, bảo đảm bình đẳng giới, việc thực hiện chính sách dân tộc trong dự thảo Thông tư </w:t>
      </w:r>
      <w:r w:rsidRPr="00816FCE">
        <w:rPr>
          <w:rFonts w:asciiTheme="majorHAnsi" w:eastAsiaTheme="minorHAnsi" w:hAnsiTheme="majorHAnsi" w:cstheme="majorHAnsi"/>
          <w:iCs/>
          <w:szCs w:val="28"/>
          <w:highlight w:val="white"/>
          <w:shd w:val="clear" w:color="auto" w:fill="FFFFFF"/>
        </w:rPr>
        <w:t>quy định chi tiết một số Điều về kinh doanh dược của </w:t>
      </w:r>
      <w:hyperlink r:id="rId11" w:tgtFrame="_blank" w:history="1">
        <w:r w:rsidRPr="00816FCE">
          <w:rPr>
            <w:rFonts w:asciiTheme="majorHAnsi" w:eastAsiaTheme="minorHAnsi" w:hAnsiTheme="majorHAnsi" w:cstheme="majorHAnsi"/>
            <w:iCs/>
            <w:szCs w:val="28"/>
            <w:highlight w:val="white"/>
            <w:shd w:val="clear" w:color="auto" w:fill="FFFFFF"/>
          </w:rPr>
          <w:t>Luật dược</w:t>
        </w:r>
      </w:hyperlink>
      <w:r w:rsidRPr="00816FCE">
        <w:rPr>
          <w:rFonts w:asciiTheme="majorHAnsi" w:eastAsiaTheme="minorHAnsi" w:hAnsiTheme="majorHAnsi" w:cstheme="majorHAnsi"/>
          <w:iCs/>
          <w:szCs w:val="28"/>
          <w:highlight w:val="white"/>
          <w:shd w:val="clear" w:color="auto" w:fill="FFFFFF"/>
        </w:rPr>
        <w:t> và Nghị định số </w:t>
      </w:r>
      <w:hyperlink r:id="rId12" w:tgtFrame="_blank" w:history="1">
        <w:r w:rsidRPr="00816FCE">
          <w:rPr>
            <w:rFonts w:asciiTheme="majorHAnsi" w:eastAsiaTheme="minorHAnsi" w:hAnsiTheme="majorHAnsi" w:cstheme="majorHAnsi"/>
            <w:iCs/>
            <w:szCs w:val="28"/>
            <w:highlight w:val="white"/>
            <w:shd w:val="clear" w:color="auto" w:fill="FFFFFF"/>
          </w:rPr>
          <w:t>54/2017/NĐ-CP</w:t>
        </w:r>
      </w:hyperlink>
      <w:r w:rsidRPr="00816FCE">
        <w:rPr>
          <w:rFonts w:asciiTheme="majorHAnsi" w:eastAsiaTheme="minorHAnsi" w:hAnsiTheme="majorHAnsi" w:cstheme="majorHAnsi"/>
          <w:iCs/>
          <w:szCs w:val="28"/>
          <w:highlight w:val="white"/>
          <w:shd w:val="clear" w:color="auto" w:fill="FFFFFF"/>
        </w:rPr>
        <w:t xml:space="preserve"> ngày 08 tháng 5 năm 2017 của Chính phủ quy định chi tiết một số Điều và biện pháp </w:t>
      </w:r>
      <w:r w:rsidRPr="00816FCE">
        <w:rPr>
          <w:rFonts w:asciiTheme="majorHAnsi" w:eastAsiaTheme="minorHAnsi" w:hAnsiTheme="majorHAnsi" w:cstheme="majorHAnsi"/>
          <w:iCs/>
          <w:szCs w:val="28"/>
          <w:highlight w:val="white"/>
          <w:u w:color="FF0000"/>
          <w:shd w:val="clear" w:color="auto" w:fill="FFFFFF"/>
        </w:rPr>
        <w:t>thi hành </w:t>
      </w:r>
      <w:hyperlink r:id="rId13" w:tgtFrame="_blank" w:history="1">
        <w:r w:rsidRPr="00816FCE">
          <w:rPr>
            <w:rFonts w:asciiTheme="majorHAnsi" w:eastAsiaTheme="minorHAnsi" w:hAnsiTheme="majorHAnsi" w:cstheme="majorHAnsi"/>
            <w:iCs/>
            <w:szCs w:val="28"/>
            <w:highlight w:val="white"/>
            <w:u w:color="FF0000"/>
            <w:shd w:val="clear" w:color="auto" w:fill="FFFFFF"/>
          </w:rPr>
          <w:t>Luật dược</w:t>
        </w:r>
      </w:hyperlink>
      <w:r w:rsidR="0065286F">
        <w:rPr>
          <w:rFonts w:asciiTheme="majorHAnsi" w:eastAsiaTheme="minorHAnsi" w:hAnsiTheme="majorHAnsi" w:cstheme="majorHAnsi"/>
          <w:iCs/>
          <w:szCs w:val="28"/>
          <w:highlight w:val="white"/>
          <w:u w:color="FF0000"/>
          <w:shd w:val="clear" w:color="auto" w:fill="FFFFFF"/>
        </w:rPr>
        <w:t xml:space="preserve"> (Thông tư </w:t>
      </w:r>
      <w:r w:rsidR="0065286F" w:rsidRPr="00816FCE">
        <w:rPr>
          <w:rFonts w:asciiTheme="majorHAnsi" w:eastAsia="Arial" w:hAnsiTheme="majorHAnsi" w:cstheme="majorHAnsi"/>
          <w:szCs w:val="28"/>
          <w:highlight w:val="white"/>
        </w:rPr>
        <w:t xml:space="preserve">thay thế Thông tư số </w:t>
      </w:r>
      <w:r w:rsidR="0065286F" w:rsidRPr="00816FCE">
        <w:rPr>
          <w:rFonts w:asciiTheme="majorHAnsi" w:eastAsia="MS Mincho" w:hAnsiTheme="majorHAnsi" w:cstheme="majorHAnsi"/>
          <w:bCs/>
          <w:iCs/>
          <w:szCs w:val="28"/>
          <w:highlight w:val="white"/>
          <w:lang w:eastAsia="x-none"/>
        </w:rPr>
        <w:t xml:space="preserve">07/2018/TT-BYT </w:t>
      </w:r>
      <w:r w:rsidR="0065286F" w:rsidRPr="00816FCE">
        <w:rPr>
          <w:rFonts w:asciiTheme="majorHAnsi" w:eastAsiaTheme="minorHAnsi" w:hAnsiTheme="majorHAnsi" w:cstheme="majorHAnsi"/>
          <w:szCs w:val="28"/>
          <w:highlight w:val="white"/>
          <w:lang w:val="pt-BR"/>
        </w:rPr>
        <w:t>ngày 12/4/2018</w:t>
      </w:r>
      <w:r w:rsidR="0065286F">
        <w:rPr>
          <w:rFonts w:asciiTheme="majorHAnsi" w:hAnsiTheme="majorHAnsi" w:cstheme="majorHAnsi"/>
          <w:szCs w:val="28"/>
          <w:highlight w:val="white"/>
          <w:lang w:val="pt-BR"/>
        </w:rPr>
        <w:t>).</w:t>
      </w:r>
      <w:r w:rsidRPr="00816FCE">
        <w:rPr>
          <w:rFonts w:asciiTheme="majorHAnsi" w:hAnsiTheme="majorHAnsi" w:cstheme="majorHAnsi"/>
          <w:szCs w:val="28"/>
          <w:highlight w:val="white"/>
          <w:lang w:val="pt-BR"/>
        </w:rPr>
        <w:t xml:space="preserve"> Kết quả như sau:</w:t>
      </w:r>
    </w:p>
    <w:p w14:paraId="56E2A66E" w14:textId="76E7AB71" w:rsidR="00727171" w:rsidRPr="00816FCE" w:rsidRDefault="00727171" w:rsidP="00816FCE">
      <w:pPr>
        <w:spacing w:before="60" w:line="360" w:lineRule="exact"/>
        <w:ind w:firstLine="709"/>
        <w:jc w:val="both"/>
        <w:rPr>
          <w:rFonts w:asciiTheme="majorHAnsi" w:hAnsiTheme="majorHAnsi" w:cstheme="majorHAnsi"/>
          <w:b/>
          <w:szCs w:val="28"/>
          <w:highlight w:val="white"/>
          <w:lang w:val="pt-BR"/>
        </w:rPr>
      </w:pPr>
      <w:r w:rsidRPr="00816FCE">
        <w:rPr>
          <w:rFonts w:asciiTheme="majorHAnsi" w:hAnsiTheme="majorHAnsi" w:cstheme="majorHAnsi"/>
          <w:b/>
          <w:szCs w:val="28"/>
          <w:highlight w:val="white"/>
          <w:lang w:val="pt-BR"/>
        </w:rPr>
        <w:t>I. TỔ CHỨC THỰ</w:t>
      </w:r>
      <w:r w:rsidR="00B10994">
        <w:rPr>
          <w:rFonts w:asciiTheme="majorHAnsi" w:hAnsiTheme="majorHAnsi" w:cstheme="majorHAnsi"/>
          <w:b/>
          <w:szCs w:val="28"/>
          <w:highlight w:val="white"/>
          <w:lang w:val="pt-BR"/>
        </w:rPr>
        <w:t>C HIỆN ĐÁNH GIÁ</w:t>
      </w:r>
    </w:p>
    <w:p w14:paraId="057C4760" w14:textId="29D3F525" w:rsidR="00727171" w:rsidRPr="00816FCE" w:rsidRDefault="00727171" w:rsidP="00816FCE">
      <w:pPr>
        <w:spacing w:before="60" w:line="360" w:lineRule="exact"/>
        <w:ind w:firstLine="709"/>
        <w:jc w:val="both"/>
        <w:rPr>
          <w:rFonts w:asciiTheme="majorHAnsi" w:hAnsiTheme="majorHAnsi" w:cstheme="majorHAnsi"/>
          <w:b/>
          <w:szCs w:val="28"/>
          <w:highlight w:val="white"/>
          <w:lang w:val="pt-BR"/>
        </w:rPr>
      </w:pPr>
      <w:r w:rsidRPr="00816FCE">
        <w:rPr>
          <w:rFonts w:asciiTheme="majorHAnsi" w:hAnsiTheme="majorHAnsi" w:cstheme="majorHAnsi"/>
          <w:b/>
          <w:szCs w:val="28"/>
          <w:highlight w:val="white"/>
          <w:lang w:val="pt-BR"/>
        </w:rPr>
        <w:t>1. Bối</w:t>
      </w:r>
      <w:r w:rsidR="00B10994">
        <w:rPr>
          <w:rFonts w:asciiTheme="majorHAnsi" w:hAnsiTheme="majorHAnsi" w:cstheme="majorHAnsi"/>
          <w:b/>
          <w:szCs w:val="28"/>
          <w:highlight w:val="white"/>
          <w:lang w:val="pt-BR"/>
        </w:rPr>
        <w:t xml:space="preserve"> cảnh xây dựng dự thảo Thông tư</w:t>
      </w:r>
    </w:p>
    <w:p w14:paraId="452B82EF" w14:textId="77777777" w:rsidR="00727171" w:rsidRPr="00816FCE" w:rsidRDefault="00727171" w:rsidP="00816FCE">
      <w:pPr>
        <w:spacing w:before="60" w:line="360" w:lineRule="exact"/>
        <w:ind w:firstLine="709"/>
        <w:jc w:val="both"/>
        <w:rPr>
          <w:rFonts w:asciiTheme="majorHAnsi" w:eastAsia="MS Mincho" w:hAnsiTheme="majorHAnsi" w:cstheme="majorHAnsi"/>
          <w:bCs/>
          <w:iCs/>
          <w:szCs w:val="28"/>
          <w:highlight w:val="white"/>
          <w:lang w:eastAsia="x-none"/>
        </w:rPr>
      </w:pPr>
      <w:r w:rsidRPr="00816FCE">
        <w:rPr>
          <w:rFonts w:asciiTheme="majorHAnsi" w:hAnsiTheme="majorHAnsi" w:cstheme="majorHAnsi"/>
          <w:szCs w:val="28"/>
          <w:highlight w:val="white"/>
          <w:lang w:val="pt-BR"/>
        </w:rPr>
        <w:t xml:space="preserve">Việc dự thảo quy định tại Thông tư thay thế </w:t>
      </w:r>
      <w:r w:rsidRPr="00816FCE">
        <w:rPr>
          <w:rFonts w:asciiTheme="majorHAnsi" w:eastAsia="Arial" w:hAnsiTheme="majorHAnsi" w:cstheme="majorHAnsi"/>
          <w:szCs w:val="28"/>
          <w:highlight w:val="white"/>
        </w:rPr>
        <w:t xml:space="preserve">Thông tư số </w:t>
      </w:r>
      <w:r w:rsidRPr="00816FCE">
        <w:rPr>
          <w:rFonts w:asciiTheme="majorHAnsi" w:eastAsia="MS Mincho" w:hAnsiTheme="majorHAnsi" w:cstheme="majorHAnsi"/>
          <w:bCs/>
          <w:iCs/>
          <w:szCs w:val="28"/>
          <w:highlight w:val="white"/>
          <w:lang w:eastAsia="x-none"/>
        </w:rPr>
        <w:t>07/2018/TT-BYT trong bối cảnh Bộ Chính trị, Quốc hội, Chính phủ ban hành nhiều văn bản, chủ trương, chính sách lớn nhằm thúc đẩy nền kinh tế phát triển, phù hợp với sự phát triển, thay đổi nhanh chóng của khoa học kỹ thuật, trong đó, nhấn mạnh yêu cầu về đơn giản hóa thủ tục hành chính, tăng cường phân cấp, phân quyền, đảm bảo công khai, minh bạch trong xây dựng văn bản quy phạm pháp luật.</w:t>
      </w:r>
    </w:p>
    <w:p w14:paraId="314ADA53" w14:textId="77777777" w:rsidR="00727171" w:rsidRPr="00816FCE" w:rsidRDefault="00727171" w:rsidP="00816FCE">
      <w:pPr>
        <w:spacing w:before="60" w:line="360" w:lineRule="exact"/>
        <w:ind w:firstLine="709"/>
        <w:jc w:val="both"/>
        <w:rPr>
          <w:rFonts w:asciiTheme="majorHAnsi" w:eastAsiaTheme="minorHAnsi" w:hAnsiTheme="majorHAnsi" w:cstheme="majorHAnsi"/>
          <w:szCs w:val="28"/>
          <w:highlight w:val="white"/>
          <w:shd w:val="clear" w:color="auto" w:fill="FFFFFF"/>
        </w:rPr>
      </w:pPr>
      <w:r w:rsidRPr="00816FCE">
        <w:rPr>
          <w:rFonts w:asciiTheme="majorHAnsi" w:eastAsiaTheme="minorHAnsi" w:hAnsiTheme="majorHAnsi" w:cstheme="majorHAnsi"/>
          <w:szCs w:val="28"/>
          <w:highlight w:val="white"/>
          <w:shd w:val="clear" w:color="auto" w:fill="FFFFFF"/>
        </w:rPr>
        <w:t xml:space="preserve">Ngày 22/12/2024, Bộ Chính trị </w:t>
      </w:r>
      <w:r w:rsidRPr="00816FCE">
        <w:rPr>
          <w:rFonts w:asciiTheme="majorHAnsi" w:eastAsiaTheme="minorHAnsi" w:hAnsiTheme="majorHAnsi" w:cstheme="majorHAnsi"/>
          <w:szCs w:val="28"/>
          <w:highlight w:val="white"/>
          <w:u w:color="FF0000"/>
          <w:shd w:val="clear" w:color="auto" w:fill="FFFFFF"/>
        </w:rPr>
        <w:t>ban hành </w:t>
      </w:r>
      <w:hyperlink r:id="rId14" w:tgtFrame="_blank" w:history="1">
        <w:r w:rsidRPr="00816FCE">
          <w:rPr>
            <w:rFonts w:asciiTheme="majorHAnsi" w:eastAsiaTheme="minorHAnsi" w:hAnsiTheme="majorHAnsi" w:cstheme="majorHAnsi"/>
            <w:szCs w:val="28"/>
            <w:highlight w:val="white"/>
            <w:u w:color="FF0000"/>
            <w:shd w:val="clear" w:color="auto" w:fill="FFFFFF"/>
          </w:rPr>
          <w:t>Nghị quyết 57-NQ/TW năm 2024</w:t>
        </w:r>
      </w:hyperlink>
      <w:r w:rsidRPr="00816FCE">
        <w:rPr>
          <w:rFonts w:asciiTheme="majorHAnsi" w:eastAsiaTheme="minorHAnsi" w:hAnsiTheme="majorHAnsi" w:cstheme="majorHAnsi"/>
          <w:szCs w:val="28"/>
          <w:highlight w:val="white"/>
          <w:shd w:val="clear" w:color="auto" w:fill="FFFFFF"/>
        </w:rPr>
        <w:t xml:space="preserve"> về đột phá phát triển khoa học, công nghệ, đổi mới sáng tạo và chuyển đổi số quốc gia; </w:t>
      </w:r>
      <w:r w:rsidRPr="00816FCE">
        <w:rPr>
          <w:rFonts w:asciiTheme="majorHAnsi" w:eastAsiaTheme="minorHAnsi" w:hAnsiTheme="majorHAnsi" w:cstheme="majorHAnsi"/>
          <w:i/>
          <w:iCs/>
          <w:szCs w:val="28"/>
          <w:highlight w:val="white"/>
          <w:shd w:val="clear" w:color="auto" w:fill="FFFFFF"/>
        </w:rPr>
        <w:t>Nghị quyết số 03/NQ-CP ngày 09/01/2025 của Chính phủ về Chương trình hành động của Chính phủ thực hiện Nghị quyết số </w:t>
      </w:r>
      <w:bookmarkStart w:id="1" w:name="tvpllink_rgkxceamep_1"/>
      <w:r w:rsidRPr="00816FCE">
        <w:rPr>
          <w:rFonts w:asciiTheme="majorHAnsi" w:eastAsiaTheme="minorHAnsi" w:hAnsiTheme="majorHAnsi" w:cstheme="majorHAnsi"/>
          <w:i/>
          <w:iCs/>
          <w:szCs w:val="28"/>
          <w:highlight w:val="white"/>
          <w:shd w:val="clear" w:color="auto" w:fill="FFFFFF"/>
        </w:rPr>
        <w:fldChar w:fldCharType="begin"/>
      </w:r>
      <w:r w:rsidRPr="00816FCE">
        <w:rPr>
          <w:rFonts w:asciiTheme="majorHAnsi" w:eastAsiaTheme="minorHAnsi" w:hAnsiTheme="majorHAnsi" w:cstheme="majorHAnsi"/>
          <w:i/>
          <w:iCs/>
          <w:szCs w:val="28"/>
          <w:highlight w:val="white"/>
          <w:shd w:val="clear" w:color="auto" w:fill="FFFFFF"/>
        </w:rPr>
        <w:instrText xml:space="preserve"> HYPERLINK "https://thuvienphapluat.vn/van-ban/Cong-nghe-thong-tin/Nghi-quyet-57-NQ-TW-2024-dot-pha-phat-trien-khoa-hoc-cong-nghe-doi-moi-sang-tao-637245.aspx" \t "_blank" </w:instrText>
      </w:r>
      <w:r w:rsidRPr="00816FCE">
        <w:rPr>
          <w:rFonts w:asciiTheme="majorHAnsi" w:eastAsiaTheme="minorHAnsi" w:hAnsiTheme="majorHAnsi" w:cstheme="majorHAnsi"/>
          <w:i/>
          <w:iCs/>
          <w:szCs w:val="28"/>
          <w:highlight w:val="white"/>
          <w:shd w:val="clear" w:color="auto" w:fill="FFFFFF"/>
        </w:rPr>
        <w:fldChar w:fldCharType="separate"/>
      </w:r>
      <w:r w:rsidRPr="00816FCE">
        <w:rPr>
          <w:rFonts w:asciiTheme="majorHAnsi" w:eastAsiaTheme="minorHAnsi" w:hAnsiTheme="majorHAnsi" w:cstheme="majorHAnsi"/>
          <w:i/>
          <w:iCs/>
          <w:szCs w:val="28"/>
          <w:highlight w:val="white"/>
          <w:shd w:val="clear" w:color="auto" w:fill="FFFFFF"/>
        </w:rPr>
        <w:t>57-NQ/TW</w:t>
      </w:r>
      <w:r w:rsidRPr="00816FCE">
        <w:rPr>
          <w:rFonts w:asciiTheme="majorHAnsi" w:eastAsiaTheme="minorHAnsi" w:hAnsiTheme="majorHAnsi" w:cstheme="majorHAnsi"/>
          <w:i/>
          <w:iCs/>
          <w:szCs w:val="28"/>
          <w:highlight w:val="white"/>
          <w:shd w:val="clear" w:color="auto" w:fill="FFFFFF"/>
        </w:rPr>
        <w:fldChar w:fldCharType="end"/>
      </w:r>
      <w:bookmarkEnd w:id="1"/>
      <w:r w:rsidRPr="00816FCE">
        <w:rPr>
          <w:rFonts w:asciiTheme="majorHAnsi" w:eastAsiaTheme="minorHAnsi" w:hAnsiTheme="majorHAnsi" w:cstheme="majorHAnsi"/>
          <w:i/>
          <w:iCs/>
          <w:szCs w:val="28"/>
          <w:highlight w:val="white"/>
          <w:shd w:val="clear" w:color="auto" w:fill="FFFFFF"/>
        </w:rPr>
        <w:t xml:space="preserve"> ngày 22 tháng 12 năm 2024 của Bộ Chính trị về đột phá phát triển khoa học, công nghệ, đổi mới sáng tạo và chuyển đổi số quốc gia; </w:t>
      </w:r>
      <w:r w:rsidRPr="00816FCE">
        <w:rPr>
          <w:rFonts w:asciiTheme="majorHAnsi" w:eastAsiaTheme="minorHAnsi" w:hAnsiTheme="majorHAnsi" w:cstheme="majorHAnsi"/>
          <w:szCs w:val="28"/>
          <w:highlight w:val="white"/>
          <w:shd w:val="clear" w:color="auto" w:fill="FFFFFF"/>
        </w:rPr>
        <w:t xml:space="preserve">Nghị quyết số 66/NQ-CP ngày 26/3/2025 của Chính phủ về Chương trình cắt giảm, đơn giản hóa thủ tục hành chính liên quan đến hoạt động sản xuất, kinh doanh năm 2025 và 2026; Luật Ban hành văn bản quy phạm pháp luật mới được ban hành ngày 19/02/2025; </w:t>
      </w:r>
    </w:p>
    <w:p w14:paraId="1FA67147" w14:textId="04170E8A" w:rsidR="00727171" w:rsidRPr="00816FCE" w:rsidRDefault="00727171" w:rsidP="00816FCE">
      <w:pPr>
        <w:spacing w:before="60" w:line="360" w:lineRule="exact"/>
        <w:ind w:firstLine="709"/>
        <w:jc w:val="both"/>
        <w:rPr>
          <w:rFonts w:asciiTheme="majorHAnsi" w:eastAsiaTheme="minorHAnsi" w:hAnsiTheme="majorHAnsi" w:cstheme="majorHAnsi"/>
          <w:szCs w:val="28"/>
          <w:highlight w:val="white"/>
          <w:shd w:val="clear" w:color="auto" w:fill="FFFFFF"/>
        </w:rPr>
      </w:pPr>
      <w:r w:rsidRPr="00816FCE">
        <w:rPr>
          <w:rFonts w:asciiTheme="majorHAnsi" w:eastAsiaTheme="minorHAnsi" w:hAnsiTheme="majorHAnsi" w:cstheme="majorHAnsi"/>
          <w:szCs w:val="28"/>
          <w:highlight w:val="white"/>
          <w:shd w:val="clear" w:color="auto" w:fill="FFFFFF"/>
        </w:rPr>
        <w:t>Đặc biệt, Luật Dược năm 2016 đã được sửa đổi năm 2024 và có hiệu lực thi hành kể từ ngày 01/7/2025, trong đó, sửa đổi, bổ sung loại hình cơ sở kinh doanh mới là cơ sở tổ chức chuỗi nhà thuốc; bãi bỏ thủ tục xác nhận nội dung thông tin thuốc. Đồng thời, phương án đơn giản hóa thủ tục hành chính nêu tại Quyết định số 1661/QĐ-TTg của Thủ tướng Chính phủ yêu cầu phải thực thi, pháp quy hóa.</w:t>
      </w:r>
    </w:p>
    <w:p w14:paraId="0395772A" w14:textId="0596C2B2" w:rsidR="00727171" w:rsidRPr="00816FCE" w:rsidRDefault="00727171" w:rsidP="00816FCE">
      <w:pPr>
        <w:spacing w:before="60" w:line="360" w:lineRule="exact"/>
        <w:ind w:firstLine="709"/>
        <w:jc w:val="both"/>
        <w:rPr>
          <w:rFonts w:asciiTheme="majorHAnsi" w:eastAsiaTheme="minorHAnsi" w:hAnsiTheme="majorHAnsi" w:cstheme="majorHAnsi"/>
          <w:b/>
          <w:szCs w:val="28"/>
          <w:highlight w:val="white"/>
          <w:shd w:val="clear" w:color="auto" w:fill="FFFFFF"/>
        </w:rPr>
      </w:pPr>
      <w:r w:rsidRPr="00816FCE">
        <w:rPr>
          <w:rFonts w:asciiTheme="majorHAnsi" w:eastAsiaTheme="minorHAnsi" w:hAnsiTheme="majorHAnsi" w:cstheme="majorHAnsi"/>
          <w:b/>
          <w:szCs w:val="28"/>
          <w:highlight w:val="white"/>
          <w:shd w:val="clear" w:color="auto" w:fill="FFFFFF"/>
        </w:rPr>
        <w:lastRenderedPageBreak/>
        <w:t>2. Mục đích, yêu cầ</w:t>
      </w:r>
      <w:r w:rsidR="00B10994">
        <w:rPr>
          <w:rFonts w:asciiTheme="majorHAnsi" w:eastAsiaTheme="minorHAnsi" w:hAnsiTheme="majorHAnsi" w:cstheme="majorHAnsi"/>
          <w:b/>
          <w:szCs w:val="28"/>
          <w:highlight w:val="white"/>
          <w:shd w:val="clear" w:color="auto" w:fill="FFFFFF"/>
        </w:rPr>
        <w:t>u đánh giá</w:t>
      </w:r>
    </w:p>
    <w:p w14:paraId="729F89B2" w14:textId="45D3055C" w:rsidR="00727171" w:rsidRPr="00816FCE" w:rsidRDefault="00953C87" w:rsidP="00816FCE">
      <w:pPr>
        <w:spacing w:before="60" w:line="360" w:lineRule="exact"/>
        <w:ind w:firstLine="709"/>
        <w:jc w:val="both"/>
        <w:rPr>
          <w:rFonts w:asciiTheme="majorHAnsi" w:eastAsiaTheme="minorHAnsi" w:hAnsiTheme="majorHAnsi" w:cstheme="majorHAnsi"/>
          <w:szCs w:val="28"/>
          <w:highlight w:val="white"/>
          <w:shd w:val="clear" w:color="auto" w:fill="FFFFFF"/>
        </w:rPr>
      </w:pPr>
      <w:r w:rsidRPr="00816FCE">
        <w:rPr>
          <w:rFonts w:asciiTheme="majorHAnsi" w:eastAsiaTheme="minorHAnsi" w:hAnsiTheme="majorHAnsi" w:cstheme="majorHAnsi"/>
          <w:szCs w:val="28"/>
          <w:highlight w:val="white"/>
          <w:shd w:val="clear" w:color="auto" w:fill="FFFFFF"/>
        </w:rPr>
        <w:t>Việc đánh giá thủ tục hành chính nhằm xem xét tính cần thiết, tính hợp lý, tính hợp pháp và chi phí tuân thủ. Trên cơ sở kết quả đánh giá thủ tục hành chính, Cục Quản lý Dược có đề xuất với Lãnh đạo Bộ Y tế xem xét sửa đổi, bổ sung quy định về thủ tục hành chính tại dự thảo văn bản quy phạm pháp luật</w:t>
      </w:r>
      <w:r w:rsidR="001734B9" w:rsidRPr="00816FCE">
        <w:rPr>
          <w:rFonts w:asciiTheme="majorHAnsi" w:eastAsiaTheme="minorHAnsi" w:hAnsiTheme="majorHAnsi" w:cstheme="majorHAnsi"/>
          <w:szCs w:val="28"/>
          <w:highlight w:val="white"/>
          <w:shd w:val="clear" w:color="auto" w:fill="FFFFFF"/>
        </w:rPr>
        <w:t>.</w:t>
      </w:r>
    </w:p>
    <w:p w14:paraId="4B81863E" w14:textId="0072EF53" w:rsidR="001734B9" w:rsidRPr="00816FCE" w:rsidRDefault="001734B9" w:rsidP="00816FCE">
      <w:pPr>
        <w:spacing w:before="60" w:line="360" w:lineRule="exact"/>
        <w:ind w:firstLine="709"/>
        <w:jc w:val="both"/>
        <w:rPr>
          <w:rFonts w:asciiTheme="majorHAnsi" w:eastAsiaTheme="minorHAnsi" w:hAnsiTheme="majorHAnsi" w:cstheme="majorHAnsi"/>
          <w:szCs w:val="28"/>
          <w:highlight w:val="white"/>
          <w:shd w:val="clear" w:color="auto" w:fill="FFFFFF"/>
        </w:rPr>
      </w:pPr>
      <w:r w:rsidRPr="00816FCE">
        <w:rPr>
          <w:rFonts w:asciiTheme="majorHAnsi" w:eastAsiaTheme="minorHAnsi" w:hAnsiTheme="majorHAnsi" w:cstheme="majorHAnsi"/>
          <w:szCs w:val="28"/>
          <w:highlight w:val="white"/>
          <w:shd w:val="clear" w:color="auto" w:fill="FFFFFF"/>
        </w:rPr>
        <w:t xml:space="preserve">Việc đánh giá thủ tục hành chính phải đảm bảo tính khách quan, khoa học trên cơ sở thực hiện theo đúng quy định tại Nghị định số 63/2020/NĐ-CP ngày 08/6/2020 của Chính phủ về kiểm soát thủ tục hành chính và Nghị định số 78/2025/NĐ-CP ngày 01/4/2025 của Chính phủ </w:t>
      </w:r>
      <w:r w:rsidRPr="00816FCE">
        <w:rPr>
          <w:rFonts w:asciiTheme="majorHAnsi" w:hAnsiTheme="majorHAnsi" w:cstheme="majorHAnsi"/>
          <w:iCs/>
          <w:szCs w:val="28"/>
          <w:highlight w:val="white"/>
        </w:rPr>
        <w:t>quy định chi tiết một số điều và biện pháp để tổ chức, hướng dẫn thi hành Luật Ban hành văn bản quy phạm pháp luật</w:t>
      </w:r>
      <w:r w:rsidR="007D57C6" w:rsidRPr="00816FCE">
        <w:rPr>
          <w:rFonts w:asciiTheme="majorHAnsi" w:hAnsiTheme="majorHAnsi" w:cstheme="majorHAnsi"/>
          <w:iCs/>
          <w:szCs w:val="28"/>
          <w:highlight w:val="white"/>
        </w:rPr>
        <w:t xml:space="preserve"> và Thông tư số 03/2022/TT-BTP ngày 10/02/2022 của Bộ Tư pháp </w:t>
      </w:r>
      <w:r w:rsidR="007D57C6" w:rsidRPr="00816FCE">
        <w:rPr>
          <w:rFonts w:asciiTheme="majorHAnsi" w:hAnsiTheme="majorHAnsi" w:cstheme="majorHAnsi"/>
          <w:iCs/>
          <w:szCs w:val="28"/>
          <w:highlight w:val="white"/>
          <w:shd w:val="clear" w:color="auto" w:fill="FFFFFF"/>
          <w:lang w:val="vi-VN"/>
        </w:rPr>
        <w:t>hướng dẫn việc đ</w:t>
      </w:r>
      <w:r w:rsidR="007D57C6" w:rsidRPr="00816FCE">
        <w:rPr>
          <w:rFonts w:asciiTheme="majorHAnsi" w:hAnsiTheme="majorHAnsi" w:cstheme="majorHAnsi"/>
          <w:iCs/>
          <w:szCs w:val="28"/>
          <w:highlight w:val="white"/>
          <w:shd w:val="clear" w:color="auto" w:fill="FFFFFF"/>
        </w:rPr>
        <w:t>á</w:t>
      </w:r>
      <w:r w:rsidR="007D57C6" w:rsidRPr="00816FCE">
        <w:rPr>
          <w:rFonts w:asciiTheme="majorHAnsi" w:hAnsiTheme="majorHAnsi" w:cstheme="majorHAnsi"/>
          <w:iCs/>
          <w:szCs w:val="28"/>
          <w:highlight w:val="white"/>
          <w:shd w:val="clear" w:color="auto" w:fill="FFFFFF"/>
          <w:lang w:val="vi-VN"/>
        </w:rPr>
        <w:t>nh giá tác động của thủ tục hành chính trong lập đề nghị xây dựng văn bản quy phạm pháp luật và soạn thảo dự án, dự thảo văn bản quy phạm pháp luật.</w:t>
      </w:r>
    </w:p>
    <w:p w14:paraId="5DCC7E28" w14:textId="5466EFD0" w:rsidR="001734B9" w:rsidRPr="00816FCE" w:rsidRDefault="001734B9" w:rsidP="00816FCE">
      <w:pPr>
        <w:spacing w:before="60" w:line="360" w:lineRule="exact"/>
        <w:ind w:firstLine="709"/>
        <w:jc w:val="both"/>
        <w:rPr>
          <w:rFonts w:asciiTheme="majorHAnsi" w:eastAsiaTheme="minorHAnsi" w:hAnsiTheme="majorHAnsi" w:cstheme="majorHAnsi"/>
          <w:b/>
          <w:szCs w:val="28"/>
          <w:highlight w:val="white"/>
          <w:shd w:val="clear" w:color="auto" w:fill="FFFFFF"/>
        </w:rPr>
      </w:pPr>
      <w:r w:rsidRPr="00816FCE">
        <w:rPr>
          <w:rFonts w:asciiTheme="majorHAnsi" w:eastAsiaTheme="minorHAnsi" w:hAnsiTheme="majorHAnsi" w:cstheme="majorHAnsi"/>
          <w:b/>
          <w:szCs w:val="28"/>
          <w:highlight w:val="white"/>
          <w:shd w:val="clear" w:color="auto" w:fill="FFFFFF"/>
        </w:rPr>
        <w:t>II. KẾT QUẢ</w:t>
      </w:r>
      <w:r w:rsidR="00816FCE">
        <w:rPr>
          <w:rFonts w:asciiTheme="majorHAnsi" w:eastAsiaTheme="minorHAnsi" w:hAnsiTheme="majorHAnsi" w:cstheme="majorHAnsi"/>
          <w:b/>
          <w:szCs w:val="28"/>
          <w:highlight w:val="white"/>
          <w:shd w:val="clear" w:color="auto" w:fill="FFFFFF"/>
        </w:rPr>
        <w:t xml:space="preserve"> ĐÁNH GIÁ</w:t>
      </w:r>
    </w:p>
    <w:p w14:paraId="7D5BE98B" w14:textId="2CA5F341" w:rsidR="001734B9" w:rsidRPr="00816FCE" w:rsidRDefault="001734B9" w:rsidP="00816FCE">
      <w:pPr>
        <w:spacing w:before="60" w:line="360" w:lineRule="exact"/>
        <w:ind w:firstLine="709"/>
        <w:jc w:val="both"/>
        <w:rPr>
          <w:rFonts w:asciiTheme="majorHAnsi" w:eastAsiaTheme="minorHAnsi" w:hAnsiTheme="majorHAnsi" w:cstheme="majorHAnsi"/>
          <w:b/>
          <w:szCs w:val="28"/>
          <w:highlight w:val="white"/>
          <w:shd w:val="clear" w:color="auto" w:fill="FFFFFF"/>
        </w:rPr>
      </w:pPr>
      <w:r w:rsidRPr="00816FCE">
        <w:rPr>
          <w:rFonts w:asciiTheme="majorHAnsi" w:eastAsiaTheme="minorHAnsi" w:hAnsiTheme="majorHAnsi" w:cstheme="majorHAnsi"/>
          <w:b/>
          <w:szCs w:val="28"/>
          <w:highlight w:val="white"/>
          <w:shd w:val="clear" w:color="auto" w:fill="FFFFFF"/>
        </w:rPr>
        <w:t>1. Đánh giá tác động thủ tụ</w:t>
      </w:r>
      <w:r w:rsidR="00904930" w:rsidRPr="00816FCE">
        <w:rPr>
          <w:rFonts w:asciiTheme="majorHAnsi" w:eastAsiaTheme="minorHAnsi" w:hAnsiTheme="majorHAnsi" w:cstheme="majorHAnsi"/>
          <w:b/>
          <w:szCs w:val="28"/>
          <w:highlight w:val="white"/>
          <w:shd w:val="clear" w:color="auto" w:fill="FFFFFF"/>
        </w:rPr>
        <w:t>c hành chính</w:t>
      </w:r>
    </w:p>
    <w:p w14:paraId="4CC372EE" w14:textId="564FAE50" w:rsidR="001734B9" w:rsidRPr="00816FCE" w:rsidRDefault="00D83D4D" w:rsidP="00816FCE">
      <w:pPr>
        <w:spacing w:before="60" w:line="360" w:lineRule="exact"/>
        <w:ind w:firstLine="709"/>
        <w:jc w:val="both"/>
        <w:rPr>
          <w:rFonts w:asciiTheme="majorHAnsi" w:eastAsiaTheme="minorHAnsi" w:hAnsiTheme="majorHAnsi" w:cstheme="majorHAnsi"/>
          <w:szCs w:val="28"/>
          <w:highlight w:val="white"/>
          <w:shd w:val="clear" w:color="auto" w:fill="FFFFFF"/>
        </w:rPr>
      </w:pPr>
      <w:r w:rsidRPr="00816FCE">
        <w:rPr>
          <w:rFonts w:asciiTheme="majorHAnsi" w:eastAsiaTheme="minorHAnsi" w:hAnsiTheme="majorHAnsi" w:cstheme="majorHAnsi"/>
          <w:szCs w:val="28"/>
          <w:highlight w:val="white"/>
          <w:shd w:val="clear" w:color="auto" w:fill="FFFFFF"/>
        </w:rPr>
        <w:t xml:space="preserve">- </w:t>
      </w:r>
      <w:r w:rsidR="001734B9" w:rsidRPr="00816FCE">
        <w:rPr>
          <w:rFonts w:asciiTheme="majorHAnsi" w:eastAsiaTheme="minorHAnsi" w:hAnsiTheme="majorHAnsi" w:cstheme="majorHAnsi"/>
          <w:szCs w:val="28"/>
          <w:highlight w:val="white"/>
          <w:shd w:val="clear" w:color="auto" w:fill="FFFFFF"/>
        </w:rPr>
        <w:t xml:space="preserve">Dự thảo Thông tư ban hành 01 thủ tục hành chính </w:t>
      </w:r>
      <w:r w:rsidR="00E16BB2" w:rsidRPr="00816FCE">
        <w:rPr>
          <w:rFonts w:asciiTheme="majorHAnsi" w:eastAsiaTheme="minorHAnsi" w:hAnsiTheme="majorHAnsi" w:cstheme="majorHAnsi"/>
          <w:szCs w:val="28"/>
          <w:highlight w:val="white"/>
          <w:shd w:val="clear" w:color="auto" w:fill="FFFFFF"/>
        </w:rPr>
        <w:t>thay thế</w:t>
      </w:r>
      <w:r w:rsidR="001734B9" w:rsidRPr="00816FCE">
        <w:rPr>
          <w:rFonts w:asciiTheme="majorHAnsi" w:eastAsiaTheme="minorHAnsi" w:hAnsiTheme="majorHAnsi" w:cstheme="majorHAnsi"/>
          <w:szCs w:val="28"/>
          <w:highlight w:val="white"/>
          <w:shd w:val="clear" w:color="auto" w:fill="FFFFFF"/>
        </w:rPr>
        <w:t xml:space="preserve"> thủ tục </w:t>
      </w:r>
      <w:r w:rsidR="00E16BB2" w:rsidRPr="00816FCE">
        <w:rPr>
          <w:rFonts w:asciiTheme="majorHAnsi" w:hAnsiTheme="majorHAnsi" w:cstheme="majorHAnsi"/>
          <w:bCs/>
          <w:szCs w:val="28"/>
          <w:highlight w:val="white"/>
        </w:rPr>
        <w:t xml:space="preserve">công bố cơ sở kinh doanh có tổ chức </w:t>
      </w:r>
      <w:r w:rsidR="00E16BB2" w:rsidRPr="00816FCE">
        <w:rPr>
          <w:rFonts w:asciiTheme="majorHAnsi" w:hAnsiTheme="majorHAnsi" w:cstheme="majorHAnsi"/>
          <w:bCs/>
          <w:szCs w:val="28"/>
          <w:highlight w:val="white"/>
          <w:u w:color="FF0000"/>
        </w:rPr>
        <w:t>kệ thuốc</w:t>
      </w:r>
      <w:r w:rsidR="00E16BB2" w:rsidRPr="00816FCE">
        <w:rPr>
          <w:rFonts w:asciiTheme="majorHAnsi" w:hAnsiTheme="majorHAnsi" w:cstheme="majorHAnsi"/>
          <w:bCs/>
          <w:szCs w:val="28"/>
          <w:highlight w:val="white"/>
        </w:rPr>
        <w:t xml:space="preserve"> (mã TTHC: </w:t>
      </w:r>
      <w:r w:rsidR="00E16BB2" w:rsidRPr="00816FCE">
        <w:rPr>
          <w:rFonts w:asciiTheme="majorHAnsi" w:hAnsiTheme="majorHAnsi" w:cstheme="majorHAnsi"/>
          <w:szCs w:val="28"/>
          <w:highlight w:val="white"/>
        </w:rPr>
        <w:t xml:space="preserve">1.001893) </w:t>
      </w:r>
      <w:r w:rsidR="001734B9" w:rsidRPr="00816FCE">
        <w:rPr>
          <w:rFonts w:asciiTheme="majorHAnsi" w:eastAsiaTheme="minorHAnsi" w:hAnsiTheme="majorHAnsi" w:cstheme="majorHAnsi"/>
          <w:szCs w:val="28"/>
          <w:highlight w:val="white"/>
          <w:shd w:val="clear" w:color="auto" w:fill="FFFFFF"/>
        </w:rPr>
        <w:t>đã được ban hành tại Thông tư số</w:t>
      </w:r>
      <w:r w:rsidR="00E16BB2" w:rsidRPr="00816FCE">
        <w:rPr>
          <w:rFonts w:asciiTheme="majorHAnsi" w:eastAsiaTheme="minorHAnsi" w:hAnsiTheme="majorHAnsi" w:cstheme="majorHAnsi"/>
          <w:szCs w:val="28"/>
          <w:highlight w:val="white"/>
          <w:shd w:val="clear" w:color="auto" w:fill="FFFFFF"/>
        </w:rPr>
        <w:t xml:space="preserve"> 07/2018/TT-BYT</w:t>
      </w:r>
      <w:r w:rsidR="00372DA8" w:rsidRPr="00816FCE">
        <w:rPr>
          <w:rFonts w:asciiTheme="majorHAnsi" w:eastAsiaTheme="minorHAnsi" w:hAnsiTheme="majorHAnsi" w:cstheme="majorHAnsi"/>
          <w:szCs w:val="28"/>
          <w:highlight w:val="white"/>
          <w:shd w:val="clear" w:color="auto" w:fill="FFFFFF"/>
        </w:rPr>
        <w:t xml:space="preserve"> đồng thời bãi bỏ 04 thủ tục hành chính được quy định tại Thông tư số 07/2018/TT-BYT.</w:t>
      </w:r>
    </w:p>
    <w:p w14:paraId="32A07120" w14:textId="729CCD3F" w:rsidR="00372DA8" w:rsidRPr="00816FCE" w:rsidRDefault="00372DA8" w:rsidP="00816FCE">
      <w:pPr>
        <w:spacing w:before="60" w:line="360" w:lineRule="exact"/>
        <w:ind w:firstLine="709"/>
        <w:jc w:val="both"/>
        <w:rPr>
          <w:rFonts w:asciiTheme="majorHAnsi" w:hAnsiTheme="majorHAnsi" w:cstheme="majorHAnsi"/>
          <w:b/>
          <w:szCs w:val="28"/>
          <w:highlight w:val="white"/>
          <w:lang w:val="pt-BR"/>
        </w:rPr>
      </w:pPr>
      <w:r w:rsidRPr="00816FCE">
        <w:rPr>
          <w:rFonts w:asciiTheme="majorHAnsi" w:hAnsiTheme="majorHAnsi" w:cstheme="majorHAnsi"/>
          <w:b/>
          <w:szCs w:val="28"/>
          <w:highlight w:val="white"/>
          <w:lang w:val="pt-BR"/>
        </w:rPr>
        <w:t>Về tính hợp pháp của thủ tục hành chính</w:t>
      </w:r>
    </w:p>
    <w:p w14:paraId="5020AAD2" w14:textId="18E3068A" w:rsidR="00372DA8"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t>Việc quy định các TTHC này được xem là biện pháp hiệu quả nhất để thực hiện yêu cầu quản lý nhà nước và thực hiện các biện pháp có tính chất đặc thù của ngành Y tế, phù hợp với điều kiện phát triển kinh tế - xã hội của địa phương và bảo đảm quyền, nghĩa vụ và lợi ích hợp pháp của cá nhân, tổ chức. TTHC được ban hành theo đúng thẩm quyền theo quy định; không có mâu thuẫn, chồng chéo hoặc không phù hợp, thống nhất với quy định tại các văn bản khác.</w:t>
      </w:r>
    </w:p>
    <w:p w14:paraId="10461E19" w14:textId="5D14C4A4" w:rsidR="00372DA8" w:rsidRPr="00816FCE" w:rsidRDefault="00372DA8" w:rsidP="00816FCE">
      <w:pPr>
        <w:spacing w:before="60" w:line="360" w:lineRule="exact"/>
        <w:ind w:firstLine="709"/>
        <w:jc w:val="both"/>
        <w:rPr>
          <w:rFonts w:asciiTheme="majorHAnsi" w:hAnsiTheme="majorHAnsi" w:cstheme="majorHAnsi"/>
          <w:b/>
          <w:szCs w:val="28"/>
          <w:highlight w:val="white"/>
          <w:lang w:val="pt-BR"/>
        </w:rPr>
      </w:pPr>
      <w:r w:rsidRPr="00816FCE">
        <w:rPr>
          <w:rFonts w:asciiTheme="majorHAnsi" w:hAnsiTheme="majorHAnsi" w:cstheme="majorHAnsi"/>
          <w:b/>
          <w:szCs w:val="28"/>
          <w:highlight w:val="white"/>
          <w:lang w:val="pt-BR"/>
        </w:rPr>
        <w:t>Về tính hợp lý của thủ tục hành chính</w:t>
      </w:r>
    </w:p>
    <w:p w14:paraId="6CFD5675" w14:textId="35D397DF" w:rsidR="00372DA8"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t>Tên của TTHC được quy định rõ ràng, cụ thể và phù hợp, thể hiện rõ lĩnh vực điều chỉnh.</w:t>
      </w:r>
    </w:p>
    <w:p w14:paraId="4DEABB3E" w14:textId="77777777" w:rsidR="00372DA8"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t>Trình tự thực hiện của TTHC được quy định rõ các bước; được quy định, phân định rõ trách nhiệm và nội dung công việc của cơ quan nhà nước và cá nhân, tổ chức khi thực hiện.</w:t>
      </w:r>
    </w:p>
    <w:p w14:paraId="411E135D" w14:textId="77777777" w:rsidR="00372DA8"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t>Cách thức thực hiện rõ ràng, được quy định phù hợp và tạo thuận lợi, tiết kiệm chi phí cho cơ quan nhà nước, cá nhân, tổ chức khi thực hiện.</w:t>
      </w:r>
    </w:p>
    <w:p w14:paraId="39D9A875" w14:textId="3B5AF3E3" w:rsidR="00372DA8" w:rsidRPr="00B10994" w:rsidRDefault="00372DA8" w:rsidP="00816FCE">
      <w:pPr>
        <w:spacing w:before="60" w:line="360" w:lineRule="exact"/>
        <w:ind w:firstLine="709"/>
        <w:jc w:val="both"/>
        <w:rPr>
          <w:rFonts w:asciiTheme="majorHAnsi" w:hAnsiTheme="majorHAnsi" w:cstheme="majorHAnsi"/>
          <w:bCs/>
          <w:spacing w:val="-6"/>
          <w:szCs w:val="28"/>
          <w:highlight w:val="white"/>
          <w:lang w:val="pt-BR"/>
        </w:rPr>
      </w:pPr>
      <w:r w:rsidRPr="00B10994">
        <w:rPr>
          <w:rFonts w:asciiTheme="majorHAnsi" w:hAnsiTheme="majorHAnsi" w:cstheme="majorHAnsi"/>
          <w:bCs/>
          <w:spacing w:val="-6"/>
          <w:szCs w:val="28"/>
          <w:highlight w:val="white"/>
          <w:lang w:val="pt-BR"/>
        </w:rPr>
        <w:t>Thành phần hồ sơ được quy định cụ thể, đầy đủ,</w:t>
      </w:r>
      <w:r w:rsidR="00904930" w:rsidRPr="00B10994">
        <w:rPr>
          <w:rFonts w:asciiTheme="majorHAnsi" w:hAnsiTheme="majorHAnsi" w:cstheme="majorHAnsi"/>
          <w:bCs/>
          <w:spacing w:val="-6"/>
          <w:szCs w:val="28"/>
          <w:highlight w:val="white"/>
          <w:lang w:val="pt-BR"/>
        </w:rPr>
        <w:t xml:space="preserve"> chính xác; các biểu mẫu cụ thể</w:t>
      </w:r>
      <w:r w:rsidRPr="00B10994">
        <w:rPr>
          <w:rFonts w:asciiTheme="majorHAnsi" w:hAnsiTheme="majorHAnsi" w:cstheme="majorHAnsi"/>
          <w:bCs/>
          <w:spacing w:val="-6"/>
          <w:szCs w:val="28"/>
          <w:highlight w:val="white"/>
          <w:lang w:val="pt-BR"/>
        </w:rPr>
        <w:t>.</w:t>
      </w:r>
    </w:p>
    <w:p w14:paraId="6E2069E4" w14:textId="77777777" w:rsidR="00372DA8"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t>Các giấy tờ, tài liệu để chứng minh việc đáp ứng yêu cầu, điều kiện thực hiện thủ tục hành chính có được quy định rõ ràng, cụ thể ở thành phần hồ sơ của thủ tục hành chính.</w:t>
      </w:r>
    </w:p>
    <w:p w14:paraId="6C8B446A" w14:textId="77777777" w:rsidR="00372DA8"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lastRenderedPageBreak/>
        <w:t>Thời hạn giải quyết rõ ràng, cụ thể.</w:t>
      </w:r>
    </w:p>
    <w:p w14:paraId="35CC88A0" w14:textId="37FD41AF" w:rsidR="00372DA8"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t xml:space="preserve">Đối tượng, phạm vi thực hiện được quy định rõ </w:t>
      </w:r>
      <w:r w:rsidR="00904930" w:rsidRPr="00816FCE">
        <w:rPr>
          <w:rFonts w:asciiTheme="majorHAnsi" w:hAnsiTheme="majorHAnsi" w:cstheme="majorHAnsi"/>
          <w:bCs/>
          <w:szCs w:val="28"/>
          <w:highlight w:val="white"/>
          <w:lang w:val="pt-BR"/>
        </w:rPr>
        <w:t>ràng</w:t>
      </w:r>
      <w:r w:rsidRPr="00816FCE">
        <w:rPr>
          <w:rFonts w:asciiTheme="majorHAnsi" w:hAnsiTheme="majorHAnsi" w:cstheme="majorHAnsi"/>
          <w:bCs/>
          <w:szCs w:val="28"/>
          <w:highlight w:val="white"/>
          <w:lang w:val="pt-BR"/>
        </w:rPr>
        <w:t>.</w:t>
      </w:r>
    </w:p>
    <w:p w14:paraId="02A22E2E" w14:textId="42C12488" w:rsidR="00372DA8" w:rsidRPr="00816FCE" w:rsidRDefault="00372DA8" w:rsidP="00816FCE">
      <w:pPr>
        <w:spacing w:before="60" w:line="360" w:lineRule="exact"/>
        <w:ind w:firstLine="709"/>
        <w:jc w:val="both"/>
        <w:rPr>
          <w:rFonts w:asciiTheme="majorHAnsi" w:hAnsiTheme="majorHAnsi" w:cstheme="majorHAnsi"/>
          <w:szCs w:val="28"/>
          <w:highlight w:val="white"/>
          <w:lang w:val="vi-VN"/>
        </w:rPr>
      </w:pPr>
      <w:r w:rsidRPr="00816FCE">
        <w:rPr>
          <w:rFonts w:asciiTheme="majorHAnsi" w:hAnsiTheme="majorHAnsi" w:cstheme="majorHAnsi"/>
          <w:szCs w:val="28"/>
          <w:highlight w:val="white"/>
          <w:lang w:val="vi-VN"/>
        </w:rPr>
        <w:t>Cơ quan giải quyế</w:t>
      </w:r>
      <w:r w:rsidR="00904930" w:rsidRPr="00816FCE">
        <w:rPr>
          <w:rFonts w:asciiTheme="majorHAnsi" w:hAnsiTheme="majorHAnsi" w:cstheme="majorHAnsi"/>
          <w:szCs w:val="28"/>
          <w:highlight w:val="white"/>
          <w:lang w:val="vi-VN"/>
        </w:rPr>
        <w:t>t được quy định rõ ràng, cụ thể</w:t>
      </w:r>
      <w:r w:rsidRPr="00816FCE">
        <w:rPr>
          <w:rFonts w:asciiTheme="majorHAnsi" w:hAnsiTheme="majorHAnsi" w:cstheme="majorHAnsi"/>
          <w:szCs w:val="28"/>
          <w:highlight w:val="white"/>
          <w:lang w:val="vi-VN"/>
        </w:rPr>
        <w:t>.</w:t>
      </w:r>
    </w:p>
    <w:p w14:paraId="22D25C33" w14:textId="1FE50DE4" w:rsidR="00372DA8" w:rsidRPr="00816FCE" w:rsidRDefault="00372DA8" w:rsidP="00816FCE">
      <w:pPr>
        <w:spacing w:before="60" w:line="360" w:lineRule="exact"/>
        <w:ind w:firstLine="709"/>
        <w:jc w:val="both"/>
        <w:rPr>
          <w:rFonts w:asciiTheme="majorHAnsi" w:hAnsiTheme="majorHAnsi" w:cstheme="majorHAnsi"/>
          <w:szCs w:val="28"/>
          <w:highlight w:val="white"/>
          <w:lang w:val="vi-VN"/>
        </w:rPr>
      </w:pPr>
      <w:r w:rsidRPr="00816FCE">
        <w:rPr>
          <w:rFonts w:asciiTheme="majorHAnsi" w:hAnsiTheme="majorHAnsi" w:cstheme="majorHAnsi"/>
          <w:szCs w:val="28"/>
          <w:highlight w:val="white"/>
          <w:lang w:val="vi-VN"/>
        </w:rPr>
        <w:t xml:space="preserve">TTHC </w:t>
      </w:r>
      <w:r w:rsidR="00904930" w:rsidRPr="00816FCE">
        <w:rPr>
          <w:rFonts w:asciiTheme="majorHAnsi" w:hAnsiTheme="majorHAnsi" w:cstheme="majorHAnsi"/>
          <w:szCs w:val="28"/>
          <w:highlight w:val="white"/>
        </w:rPr>
        <w:t>không</w:t>
      </w:r>
      <w:r w:rsidRPr="00816FCE">
        <w:rPr>
          <w:rFonts w:asciiTheme="majorHAnsi" w:hAnsiTheme="majorHAnsi" w:cstheme="majorHAnsi"/>
          <w:szCs w:val="28"/>
          <w:highlight w:val="white"/>
          <w:lang w:val="vi-VN"/>
        </w:rPr>
        <w:t xml:space="preserve"> quy định rõ mức phí,</w:t>
      </w:r>
      <w:r w:rsidR="00904930" w:rsidRPr="00816FCE">
        <w:rPr>
          <w:rFonts w:asciiTheme="majorHAnsi" w:hAnsiTheme="majorHAnsi" w:cstheme="majorHAnsi"/>
          <w:szCs w:val="28"/>
          <w:highlight w:val="white"/>
          <w:lang w:val="vi-VN"/>
        </w:rPr>
        <w:t xml:space="preserve"> lệ phí hoặc các khoản thu khác</w:t>
      </w:r>
      <w:r w:rsidRPr="00816FCE">
        <w:rPr>
          <w:rFonts w:asciiTheme="majorHAnsi" w:hAnsiTheme="majorHAnsi" w:cstheme="majorHAnsi"/>
          <w:szCs w:val="28"/>
          <w:highlight w:val="white"/>
          <w:lang w:val="vi-VN"/>
        </w:rPr>
        <w:t>.</w:t>
      </w:r>
    </w:p>
    <w:p w14:paraId="7B27E0ED" w14:textId="7ACB3C47" w:rsidR="00372DA8"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t>Các mẫu đơn, tờ khai được quy định cụ thể, đảm bảo thuận lợi cho người dân, doanh nghiệp khi thực hiện TTHC.</w:t>
      </w:r>
    </w:p>
    <w:p w14:paraId="43ECD11E" w14:textId="77777777" w:rsidR="00372DA8" w:rsidRPr="00816FCE" w:rsidRDefault="00372DA8" w:rsidP="00816FCE">
      <w:pPr>
        <w:spacing w:before="60" w:line="360" w:lineRule="exact"/>
        <w:ind w:firstLine="709"/>
        <w:jc w:val="both"/>
        <w:rPr>
          <w:rFonts w:asciiTheme="majorHAnsi" w:hAnsiTheme="majorHAnsi" w:cstheme="majorHAnsi"/>
          <w:szCs w:val="28"/>
          <w:highlight w:val="white"/>
          <w:lang w:val="vi-VN"/>
        </w:rPr>
      </w:pPr>
      <w:r w:rsidRPr="00816FCE">
        <w:rPr>
          <w:rFonts w:asciiTheme="majorHAnsi" w:hAnsiTheme="majorHAnsi" w:cstheme="majorHAnsi"/>
          <w:szCs w:val="28"/>
          <w:highlight w:val="white"/>
          <w:lang w:val="vi-VN"/>
        </w:rPr>
        <w:t>Ngôn ngữ trong các tài liệu khi thực hiện TTHC được quy định cụ thể.</w:t>
      </w:r>
    </w:p>
    <w:p w14:paraId="1F6CA232" w14:textId="07B0A68D" w:rsidR="00372DA8" w:rsidRPr="00816FCE" w:rsidRDefault="00904930" w:rsidP="00816FCE">
      <w:pPr>
        <w:spacing w:before="60" w:line="360" w:lineRule="exact"/>
        <w:ind w:firstLine="709"/>
        <w:jc w:val="both"/>
        <w:rPr>
          <w:rFonts w:asciiTheme="majorHAnsi" w:hAnsiTheme="majorHAnsi" w:cstheme="majorHAnsi"/>
          <w:b/>
          <w:szCs w:val="28"/>
          <w:highlight w:val="white"/>
          <w:lang w:val="pt-BR"/>
        </w:rPr>
      </w:pPr>
      <w:r w:rsidRPr="00816FCE">
        <w:rPr>
          <w:rFonts w:asciiTheme="majorHAnsi" w:hAnsiTheme="majorHAnsi" w:cstheme="majorHAnsi"/>
          <w:b/>
          <w:szCs w:val="28"/>
          <w:highlight w:val="white"/>
          <w:lang w:val="pt-BR"/>
        </w:rPr>
        <w:t>Về chi phí tuân thủ của TTHC</w:t>
      </w:r>
    </w:p>
    <w:p w14:paraId="740B849B" w14:textId="598838D8" w:rsidR="00904930" w:rsidRPr="00816FCE" w:rsidRDefault="00372DA8" w:rsidP="00816FCE">
      <w:pPr>
        <w:spacing w:before="60" w:line="360" w:lineRule="exact"/>
        <w:ind w:firstLine="709"/>
        <w:jc w:val="both"/>
        <w:rPr>
          <w:rFonts w:asciiTheme="majorHAnsi" w:hAnsiTheme="majorHAnsi" w:cstheme="majorHAnsi"/>
          <w:bCs/>
          <w:szCs w:val="28"/>
          <w:highlight w:val="white"/>
          <w:lang w:val="pt-BR"/>
        </w:rPr>
      </w:pPr>
      <w:r w:rsidRPr="00816FCE">
        <w:rPr>
          <w:rFonts w:asciiTheme="majorHAnsi" w:hAnsiTheme="majorHAnsi" w:cstheme="majorHAnsi"/>
          <w:bCs/>
          <w:szCs w:val="28"/>
          <w:highlight w:val="white"/>
          <w:lang w:val="pt-BR"/>
        </w:rPr>
        <w:t xml:space="preserve">Cục Quản lý Dược đã tính chi phí tuân thủ </w:t>
      </w:r>
      <w:r w:rsidR="00816FCE" w:rsidRPr="00816FCE">
        <w:rPr>
          <w:rFonts w:asciiTheme="majorHAnsi" w:hAnsiTheme="majorHAnsi" w:cstheme="majorHAnsi"/>
          <w:bCs/>
          <w:szCs w:val="28"/>
          <w:highlight w:val="white"/>
          <w:lang w:val="pt-BR"/>
        </w:rPr>
        <w:t xml:space="preserve">của </w:t>
      </w:r>
      <w:r w:rsidRPr="00816FCE">
        <w:rPr>
          <w:rFonts w:asciiTheme="majorHAnsi" w:hAnsiTheme="majorHAnsi" w:cstheme="majorHAnsi"/>
          <w:bCs/>
          <w:szCs w:val="28"/>
          <w:highlight w:val="white"/>
          <w:lang w:val="pt-BR"/>
        </w:rPr>
        <w:t xml:space="preserve">thủ tục hành chính dự kiến ban hành mới </w:t>
      </w:r>
      <w:r w:rsidR="00816FCE" w:rsidRPr="00816FCE">
        <w:rPr>
          <w:rFonts w:asciiTheme="majorHAnsi" w:hAnsiTheme="majorHAnsi" w:cstheme="majorHAnsi"/>
          <w:bCs/>
          <w:szCs w:val="28"/>
          <w:highlight w:val="white"/>
          <w:lang w:val="pt-BR"/>
        </w:rPr>
        <w:t xml:space="preserve">cũng như chi phí tuân thủ của các TTHC bị bãi bỏ theo </w:t>
      </w:r>
      <w:r w:rsidRPr="00816FCE">
        <w:rPr>
          <w:rFonts w:asciiTheme="majorHAnsi" w:hAnsiTheme="majorHAnsi" w:cstheme="majorHAnsi"/>
          <w:bCs/>
          <w:szCs w:val="28"/>
          <w:highlight w:val="white"/>
          <w:lang w:val="pt-BR"/>
        </w:rPr>
        <w:t>Biểu mẫu kèm theo Thông tư số 03/2022/TT-BTP ngày 10 tháng 02 năm 2022 của Bộ Tư pháp hướng dẫn việc đánh giá tác động của thủ tục hành chính trong lập đề nghị xây dựng văn bản quy phạm pháp luật và soạn thảo dự án, dự t</w:t>
      </w:r>
      <w:r w:rsidR="00904930" w:rsidRPr="00816FCE">
        <w:rPr>
          <w:rFonts w:asciiTheme="majorHAnsi" w:hAnsiTheme="majorHAnsi" w:cstheme="majorHAnsi"/>
          <w:bCs/>
          <w:szCs w:val="28"/>
          <w:highlight w:val="white"/>
          <w:lang w:val="pt-BR"/>
        </w:rPr>
        <w:t>hảo văn bản quy phạm pháp luật (chi tiết tại bảng tính CPTT).</w:t>
      </w:r>
    </w:p>
    <w:p w14:paraId="14EAED0F" w14:textId="0311787C" w:rsidR="00904930" w:rsidRPr="00252573" w:rsidRDefault="00D83D4D" w:rsidP="00816FCE">
      <w:pPr>
        <w:tabs>
          <w:tab w:val="left" w:pos="990"/>
        </w:tabs>
        <w:spacing w:before="60" w:line="360" w:lineRule="exact"/>
        <w:ind w:firstLine="709"/>
        <w:jc w:val="both"/>
        <w:rPr>
          <w:rFonts w:ascii="Times New Roman" w:hAnsi="Times New Roman"/>
          <w:bCs/>
          <w:szCs w:val="28"/>
          <w:highlight w:val="white"/>
          <w:lang w:val="pt-BR"/>
        </w:rPr>
      </w:pPr>
      <w:r w:rsidRPr="00816FCE">
        <w:rPr>
          <w:rFonts w:asciiTheme="majorHAnsi" w:hAnsiTheme="majorHAnsi" w:cstheme="majorHAnsi"/>
          <w:b/>
          <w:szCs w:val="28"/>
          <w:highlight w:val="white"/>
        </w:rPr>
        <w:t xml:space="preserve">- </w:t>
      </w:r>
      <w:r w:rsidR="00904930" w:rsidRPr="00816FCE">
        <w:rPr>
          <w:rFonts w:asciiTheme="majorHAnsi" w:hAnsiTheme="majorHAnsi" w:cstheme="majorHAnsi"/>
          <w:b/>
          <w:szCs w:val="28"/>
          <w:highlight w:val="white"/>
          <w:lang w:val="vi-VN"/>
        </w:rPr>
        <w:t xml:space="preserve">Nhóm TTHC </w:t>
      </w:r>
      <w:r w:rsidR="00904930" w:rsidRPr="00816FCE">
        <w:rPr>
          <w:rFonts w:asciiTheme="majorHAnsi" w:hAnsiTheme="majorHAnsi" w:cstheme="majorHAnsi"/>
          <w:b/>
          <w:szCs w:val="28"/>
          <w:highlight w:val="white"/>
          <w:lang w:val="pt-BR"/>
        </w:rPr>
        <w:t>bị bãi bỏ</w:t>
      </w:r>
    </w:p>
    <w:p w14:paraId="5F11F973" w14:textId="7A34DAA7" w:rsidR="00252573" w:rsidRPr="00252573" w:rsidRDefault="009F7799" w:rsidP="00252573">
      <w:pPr>
        <w:pStyle w:val="Heading4"/>
        <w:shd w:val="clear" w:color="auto" w:fill="FFFFFF"/>
        <w:spacing w:before="60" w:line="360" w:lineRule="exact"/>
        <w:ind w:firstLine="709"/>
        <w:jc w:val="both"/>
        <w:rPr>
          <w:rFonts w:ascii="Times New Roman" w:eastAsiaTheme="minorHAnsi" w:hAnsi="Times New Roman" w:cs="Times New Roman"/>
          <w:i w:val="0"/>
          <w:color w:val="auto"/>
          <w:szCs w:val="28"/>
          <w:highlight w:val="white"/>
          <w:shd w:val="clear" w:color="auto" w:fill="FFFFFF"/>
        </w:rPr>
      </w:pPr>
      <w:r w:rsidRPr="00252573">
        <w:rPr>
          <w:rFonts w:ascii="Times New Roman" w:hAnsi="Times New Roman" w:cs="Times New Roman"/>
          <w:i w:val="0"/>
          <w:color w:val="auto"/>
          <w:szCs w:val="28"/>
        </w:rPr>
        <w:t>Thực hiện Quyết định số 1661/QĐ-TTg của Thủ tướng Chính phủ về phê duyệt Phương án cắt giảm, đơn giản hóa quy định liên quan đến hoạt động kinh doanh thuộc phạm vi chức năng quản lý của Bộ Y tế và các văn bản liên quan</w:t>
      </w:r>
      <w:r w:rsidR="00954074" w:rsidRPr="00252573">
        <w:rPr>
          <w:rFonts w:ascii="Times New Roman" w:hAnsi="Times New Roman" w:cs="Times New Roman"/>
          <w:i w:val="0"/>
          <w:color w:val="auto"/>
          <w:szCs w:val="28"/>
        </w:rPr>
        <w:t>,</w:t>
      </w:r>
      <w:r w:rsidRPr="00252573">
        <w:rPr>
          <w:rFonts w:ascii="Times New Roman" w:hAnsi="Times New Roman" w:cs="Times New Roman"/>
          <w:i w:val="0"/>
          <w:color w:val="auto"/>
          <w:szCs w:val="28"/>
        </w:rPr>
        <w:t xml:space="preserve"> Bộ Y tế</w:t>
      </w:r>
      <w:r w:rsidR="00252573">
        <w:rPr>
          <w:rFonts w:ascii="Times New Roman" w:hAnsi="Times New Roman" w:cs="Times New Roman"/>
          <w:i w:val="0"/>
          <w:color w:val="auto"/>
          <w:szCs w:val="28"/>
        </w:rPr>
        <w:t>, trên cơ sở đánh giá chi phí tuân thủ thủ tục hành chính tại Thông tư số 07/2018/TT-BYT, dự thảo Thông tư</w:t>
      </w:r>
      <w:r w:rsidRPr="00252573">
        <w:rPr>
          <w:rFonts w:ascii="Times New Roman" w:hAnsi="Times New Roman" w:cs="Times New Roman"/>
          <w:i w:val="0"/>
          <w:color w:val="auto"/>
          <w:szCs w:val="28"/>
        </w:rPr>
        <w:t xml:space="preserve"> đã bãi bỏ 03 thủ tục hành chính: </w:t>
      </w:r>
      <w:r w:rsidRPr="00252573">
        <w:rPr>
          <w:rFonts w:ascii="Times New Roman" w:hAnsi="Times New Roman" w:cs="Times New Roman"/>
          <w:i w:val="0"/>
          <w:color w:val="auto"/>
          <w:szCs w:val="28"/>
          <w:highlight w:val="white"/>
        </w:rPr>
        <w:t>Công bố cơ sở giáo dục kiểm tra ngôn ngữ trong hành nghề dược; Kiểm tra và công nhận thành thạo ngôn ngữ trong hành nghề dược; Công nhận biết tiếng Việt thành thạo hoặc sử dụng thành thạo ngôn ngữ khác hoặc đủ trình độ phiên dịch trong hành nghề dược</w:t>
      </w:r>
      <w:r w:rsidR="00954074" w:rsidRPr="00252573">
        <w:rPr>
          <w:rFonts w:ascii="Times New Roman" w:hAnsi="Times New Roman" w:cs="Times New Roman"/>
          <w:i w:val="0"/>
          <w:color w:val="auto"/>
          <w:szCs w:val="28"/>
        </w:rPr>
        <w:t>,</w:t>
      </w:r>
      <w:r w:rsidRPr="00252573">
        <w:rPr>
          <w:rFonts w:ascii="Times New Roman" w:hAnsi="Times New Roman" w:cs="Times New Roman"/>
          <w:i w:val="0"/>
          <w:color w:val="auto"/>
          <w:szCs w:val="28"/>
        </w:rPr>
        <w:t xml:space="preserve"> đồng thời bãi bỏ quy định về </w:t>
      </w:r>
      <w:r w:rsidRPr="00252573">
        <w:rPr>
          <w:rFonts w:ascii="Times New Roman" w:hAnsi="Times New Roman" w:cs="Times New Roman"/>
          <w:i w:val="0"/>
          <w:color w:val="auto"/>
          <w:szCs w:val="28"/>
          <w:shd w:val="clear" w:color="auto" w:fill="FFFFFF"/>
        </w:rPr>
        <w:t>Công bố cơ sở kinh doanh có tổ chức kệ thuốc</w:t>
      </w:r>
      <w:r w:rsidR="00D83D4D" w:rsidRPr="00252573">
        <w:rPr>
          <w:rFonts w:ascii="Times New Roman" w:eastAsiaTheme="minorHAnsi" w:hAnsi="Times New Roman" w:cs="Times New Roman"/>
          <w:i w:val="0"/>
          <w:color w:val="auto"/>
          <w:szCs w:val="28"/>
          <w:highlight w:val="white"/>
          <w:shd w:val="clear" w:color="auto" w:fill="FFFFFF"/>
        </w:rPr>
        <w:t xml:space="preserve"> quy định tại Thông tư số 07/2018/TT-BYT </w:t>
      </w:r>
      <w:r w:rsidRPr="00252573">
        <w:rPr>
          <w:rFonts w:ascii="Times New Roman" w:eastAsiaTheme="minorHAnsi" w:hAnsi="Times New Roman" w:cs="Times New Roman"/>
          <w:i w:val="0"/>
          <w:color w:val="auto"/>
          <w:szCs w:val="28"/>
          <w:highlight w:val="white"/>
          <w:shd w:val="clear" w:color="auto" w:fill="FFFFFF"/>
        </w:rPr>
        <w:t xml:space="preserve">và công bố lại tại Thông tư </w:t>
      </w:r>
      <w:r w:rsidR="00954074" w:rsidRPr="00252573">
        <w:rPr>
          <w:rFonts w:ascii="Times New Roman" w:eastAsiaTheme="minorHAnsi" w:hAnsi="Times New Roman" w:cs="Times New Roman"/>
          <w:i w:val="0"/>
          <w:color w:val="auto"/>
          <w:szCs w:val="28"/>
          <w:highlight w:val="white"/>
          <w:shd w:val="clear" w:color="auto" w:fill="FFFFFF"/>
        </w:rPr>
        <w:t xml:space="preserve">mới </w:t>
      </w:r>
      <w:r w:rsidRPr="00252573">
        <w:rPr>
          <w:rFonts w:ascii="Times New Roman" w:eastAsiaTheme="minorHAnsi" w:hAnsi="Times New Roman" w:cs="Times New Roman"/>
          <w:i w:val="0"/>
          <w:color w:val="auto"/>
          <w:szCs w:val="28"/>
          <w:highlight w:val="white"/>
          <w:shd w:val="clear" w:color="auto" w:fill="FFFFFF"/>
        </w:rPr>
        <w:t xml:space="preserve">nhằm đảm bảo tính thống nhất, tạo thuận lợi cho quá trình tra cứu, thực hiện của người dân, doanh nghiệp cũng như </w:t>
      </w:r>
      <w:r w:rsidR="00816FCE" w:rsidRPr="00252573">
        <w:rPr>
          <w:rFonts w:ascii="Times New Roman" w:eastAsiaTheme="minorHAnsi" w:hAnsi="Times New Roman" w:cs="Times New Roman"/>
          <w:i w:val="0"/>
          <w:color w:val="auto"/>
          <w:szCs w:val="28"/>
          <w:highlight w:val="white"/>
          <w:shd w:val="clear" w:color="auto" w:fill="FFFFFF"/>
        </w:rPr>
        <w:t>quá trình quản lý của cơ quan nhà nước.</w:t>
      </w:r>
    </w:p>
    <w:p w14:paraId="46F45DBD" w14:textId="426300C8" w:rsidR="007D57C6" w:rsidRPr="00252573" w:rsidRDefault="007D57C6" w:rsidP="00B10994">
      <w:pPr>
        <w:spacing w:before="60" w:line="360" w:lineRule="exact"/>
        <w:ind w:firstLine="709"/>
        <w:jc w:val="both"/>
        <w:rPr>
          <w:rFonts w:ascii="Times New Roman" w:hAnsi="Times New Roman"/>
          <w:b/>
          <w:szCs w:val="28"/>
          <w:highlight w:val="white"/>
        </w:rPr>
      </w:pPr>
      <w:bookmarkStart w:id="2" w:name="_GoBack"/>
      <w:bookmarkEnd w:id="2"/>
      <w:r w:rsidRPr="00252573">
        <w:rPr>
          <w:rFonts w:ascii="Times New Roman" w:hAnsi="Times New Roman"/>
          <w:b/>
          <w:szCs w:val="28"/>
          <w:highlight w:val="white"/>
        </w:rPr>
        <w:t>2. V</w:t>
      </w:r>
      <w:r w:rsidR="00B10994" w:rsidRPr="00252573">
        <w:rPr>
          <w:rFonts w:ascii="Times New Roman" w:hAnsi="Times New Roman"/>
          <w:b/>
          <w:szCs w:val="28"/>
          <w:highlight w:val="white"/>
        </w:rPr>
        <w:t>iệc phân quyền, phân cấp</w:t>
      </w:r>
    </w:p>
    <w:p w14:paraId="11F2118D" w14:textId="1371D5FF" w:rsidR="007D57C6" w:rsidRPr="00816FCE" w:rsidRDefault="0065286F" w:rsidP="00816FCE">
      <w:pPr>
        <w:spacing w:before="60" w:line="360" w:lineRule="exact"/>
        <w:ind w:firstLine="709"/>
        <w:jc w:val="both"/>
        <w:rPr>
          <w:rFonts w:asciiTheme="majorHAnsi" w:hAnsiTheme="majorHAnsi" w:cstheme="majorHAnsi"/>
          <w:szCs w:val="28"/>
          <w:highlight w:val="white"/>
        </w:rPr>
      </w:pPr>
      <w:r>
        <w:rPr>
          <w:rFonts w:asciiTheme="majorHAnsi" w:hAnsiTheme="majorHAnsi" w:cstheme="majorHAnsi"/>
          <w:szCs w:val="28"/>
          <w:highlight w:val="white"/>
        </w:rPr>
        <w:t>2.1.</w:t>
      </w:r>
      <w:r w:rsidR="007D57C6" w:rsidRPr="00816FCE">
        <w:rPr>
          <w:rFonts w:asciiTheme="majorHAnsi" w:hAnsiTheme="majorHAnsi" w:cstheme="majorHAnsi"/>
          <w:szCs w:val="28"/>
          <w:highlight w:val="white"/>
        </w:rPr>
        <w:t xml:space="preserve"> Việc phân cấp cho Sở Y tế địa phương giải quyết thủ tục hành chính nhằm pháp quy hóa chủ trương tăng cường phân cấp, phân quyền, giảm tải cho cơ quan quản lý cấp Trung ương, tạo điều kiện cho các tổ chức, cá nhân trong quá trình thực hiện thủ tục hành chính.</w:t>
      </w:r>
    </w:p>
    <w:p w14:paraId="3F396B35" w14:textId="09231733" w:rsidR="007D57C6" w:rsidRPr="00816FCE" w:rsidRDefault="0065286F" w:rsidP="00816FCE">
      <w:pPr>
        <w:spacing w:before="60" w:line="360" w:lineRule="exact"/>
        <w:ind w:firstLine="709"/>
        <w:jc w:val="both"/>
        <w:rPr>
          <w:rFonts w:asciiTheme="majorHAnsi" w:hAnsiTheme="majorHAnsi" w:cstheme="majorHAnsi"/>
          <w:szCs w:val="28"/>
          <w:highlight w:val="white"/>
        </w:rPr>
      </w:pPr>
      <w:r>
        <w:rPr>
          <w:rFonts w:asciiTheme="majorHAnsi" w:hAnsiTheme="majorHAnsi" w:cstheme="majorHAnsi"/>
          <w:szCs w:val="28"/>
          <w:highlight w:val="white"/>
        </w:rPr>
        <w:t>2.2.</w:t>
      </w:r>
      <w:r w:rsidR="007D57C6" w:rsidRPr="00816FCE">
        <w:rPr>
          <w:rFonts w:asciiTheme="majorHAnsi" w:hAnsiTheme="majorHAnsi" w:cstheme="majorHAnsi"/>
          <w:szCs w:val="28"/>
          <w:highlight w:val="white"/>
        </w:rPr>
        <w:t xml:space="preserve"> Nội dung phân cấp: giải quyết hồ sơ công bố cơ sở kinh doanh có tổ chức kệ thuốc (Trong thời hạn 05 (năm) ngày làm việc, kể từ ngày ghi trên Phiếu tiếp nhận hồ sơ, Sở Y tế có trách nhiệm công bố trên Trang Thông tin điện tử của Sở Y tế danh sách cơ sở kinh doanh có tổ chức </w:t>
      </w:r>
      <w:r w:rsidR="007D57C6" w:rsidRPr="00816FCE">
        <w:rPr>
          <w:rFonts w:asciiTheme="majorHAnsi" w:hAnsiTheme="majorHAnsi" w:cstheme="majorHAnsi"/>
          <w:szCs w:val="28"/>
          <w:highlight w:val="white"/>
          <w:u w:color="FF0000"/>
        </w:rPr>
        <w:t>kệ thuốc đủ</w:t>
      </w:r>
      <w:r w:rsidR="007D57C6" w:rsidRPr="00816FCE">
        <w:rPr>
          <w:rFonts w:asciiTheme="majorHAnsi" w:hAnsiTheme="majorHAnsi" w:cstheme="majorHAnsi"/>
          <w:szCs w:val="28"/>
          <w:highlight w:val="white"/>
        </w:rPr>
        <w:t xml:space="preserve"> điều kiện. Trường hợp không công bố phải có văn bản trả lời và nêu rõ lý do</w:t>
      </w:r>
      <w:r w:rsidR="00DE27B0" w:rsidRPr="00816FCE">
        <w:rPr>
          <w:rFonts w:asciiTheme="majorHAnsi" w:hAnsiTheme="majorHAnsi" w:cstheme="majorHAnsi"/>
          <w:szCs w:val="28"/>
          <w:highlight w:val="white"/>
        </w:rPr>
        <w:t>)</w:t>
      </w:r>
      <w:r w:rsidR="007D57C6" w:rsidRPr="00816FCE">
        <w:rPr>
          <w:rFonts w:asciiTheme="majorHAnsi" w:hAnsiTheme="majorHAnsi" w:cstheme="majorHAnsi"/>
          <w:szCs w:val="28"/>
          <w:highlight w:val="white"/>
        </w:rPr>
        <w:t>.</w:t>
      </w:r>
    </w:p>
    <w:p w14:paraId="763DC3CB" w14:textId="6A254C7F" w:rsidR="00DE27B0" w:rsidRPr="00816FCE" w:rsidRDefault="0065286F" w:rsidP="00816FCE">
      <w:pPr>
        <w:spacing w:before="60" w:line="360" w:lineRule="exact"/>
        <w:ind w:firstLine="709"/>
        <w:jc w:val="both"/>
        <w:rPr>
          <w:rFonts w:asciiTheme="majorHAnsi" w:hAnsiTheme="majorHAnsi" w:cstheme="majorHAnsi"/>
          <w:szCs w:val="28"/>
          <w:highlight w:val="white"/>
        </w:rPr>
      </w:pPr>
      <w:r>
        <w:rPr>
          <w:rFonts w:asciiTheme="majorHAnsi" w:hAnsiTheme="majorHAnsi" w:cstheme="majorHAnsi"/>
          <w:szCs w:val="28"/>
          <w:highlight w:val="white"/>
        </w:rPr>
        <w:lastRenderedPageBreak/>
        <w:t>2.3.</w:t>
      </w:r>
      <w:r w:rsidR="00DE27B0" w:rsidRPr="00816FCE">
        <w:rPr>
          <w:rFonts w:asciiTheme="majorHAnsi" w:hAnsiTheme="majorHAnsi" w:cstheme="majorHAnsi"/>
          <w:szCs w:val="28"/>
          <w:highlight w:val="white"/>
        </w:rPr>
        <w:t xml:space="preserve"> Việc phân cấp cho Sở Y tế địa phương giải quyết thủ tục hành chính công bố cơ sở kinh doanh có tổ chức kệ thuốc cũng đã được quy định tại Thông tư số 07/2018/TT-BYT. Qua quá trình thực hiện, các Sở Y tế đều </w:t>
      </w:r>
      <w:r w:rsidR="00DE27B0" w:rsidRPr="00816FCE">
        <w:rPr>
          <w:rFonts w:asciiTheme="majorHAnsi" w:hAnsiTheme="majorHAnsi" w:cstheme="majorHAnsi"/>
          <w:szCs w:val="28"/>
          <w:highlight w:val="white"/>
          <w:u w:color="FF0000"/>
        </w:rPr>
        <w:t>đồng thuận</w:t>
      </w:r>
      <w:r w:rsidR="00DE27B0" w:rsidRPr="00816FCE">
        <w:rPr>
          <w:rFonts w:asciiTheme="majorHAnsi" w:hAnsiTheme="majorHAnsi" w:cstheme="majorHAnsi"/>
          <w:szCs w:val="28"/>
          <w:highlight w:val="white"/>
        </w:rPr>
        <w:t xml:space="preserve"> với quy định về thẩm quyền giải quyết hồ sơ. Hiện nay, các Sở Y tế đều có đủ điều kiện để đảm bảo thực hiện nội dung phân cấp giải quyết đối với thủ tục hành chính này, bao gồm:</w:t>
      </w:r>
    </w:p>
    <w:p w14:paraId="447BBD6F" w14:textId="3F8F875C" w:rsidR="00DE27B0" w:rsidRPr="00816FCE" w:rsidRDefault="0065286F" w:rsidP="00816FCE">
      <w:pPr>
        <w:spacing w:before="60" w:line="360" w:lineRule="exact"/>
        <w:ind w:firstLine="709"/>
        <w:jc w:val="both"/>
        <w:rPr>
          <w:rFonts w:asciiTheme="majorHAnsi" w:hAnsiTheme="majorHAnsi" w:cstheme="majorHAnsi"/>
          <w:szCs w:val="28"/>
          <w:highlight w:val="white"/>
        </w:rPr>
      </w:pPr>
      <w:r>
        <w:rPr>
          <w:rFonts w:asciiTheme="majorHAnsi" w:hAnsiTheme="majorHAnsi" w:cstheme="majorHAnsi"/>
          <w:szCs w:val="28"/>
          <w:highlight w:val="white"/>
        </w:rPr>
        <w:t>a)</w:t>
      </w:r>
      <w:r w:rsidR="00DE27B0" w:rsidRPr="00816FCE">
        <w:rPr>
          <w:rFonts w:asciiTheme="majorHAnsi" w:hAnsiTheme="majorHAnsi" w:cstheme="majorHAnsi"/>
          <w:szCs w:val="28"/>
          <w:highlight w:val="white"/>
        </w:rPr>
        <w:t xml:space="preserve"> Điều kiện về con người, cơ cấu tổ chức: Tất cả các Sở Y tế đều có Phòng Nghiệp vụ Dược hoặc Phòng Nghiệp vụ Y Dược, trong đó có cán bộ làm công tác quản lý nhà nước về dược, có đủ trình độ chuyên môn, nghiệp vụ để giải quyết thủ tục hành chính.</w:t>
      </w:r>
    </w:p>
    <w:p w14:paraId="4339B252" w14:textId="3E6306A3" w:rsidR="00DE27B0" w:rsidRPr="00816FCE" w:rsidRDefault="0065286F" w:rsidP="00816FCE">
      <w:pPr>
        <w:spacing w:before="60" w:line="360" w:lineRule="exact"/>
        <w:ind w:firstLine="709"/>
        <w:jc w:val="both"/>
        <w:rPr>
          <w:rFonts w:asciiTheme="majorHAnsi" w:hAnsiTheme="majorHAnsi" w:cstheme="majorHAnsi"/>
          <w:szCs w:val="28"/>
          <w:highlight w:val="white"/>
        </w:rPr>
      </w:pPr>
      <w:r>
        <w:rPr>
          <w:rFonts w:asciiTheme="majorHAnsi" w:hAnsiTheme="majorHAnsi" w:cstheme="majorHAnsi"/>
          <w:szCs w:val="28"/>
          <w:highlight w:val="white"/>
        </w:rPr>
        <w:t>b)</w:t>
      </w:r>
      <w:r w:rsidR="00DE27B0" w:rsidRPr="00816FCE">
        <w:rPr>
          <w:rFonts w:asciiTheme="majorHAnsi" w:hAnsiTheme="majorHAnsi" w:cstheme="majorHAnsi"/>
          <w:szCs w:val="28"/>
          <w:highlight w:val="white"/>
        </w:rPr>
        <w:t xml:space="preserve"> Điều kiện về cơ sở vật chất: Các Sở Y tế đều được trang bị đầy đủ cơ sở vật chất cần thiết cho việc giải quyết thủ tục hành chính, đặc biệt, một số Sở Y tế đã triển khai dịch vụ công trực tuyến, giúp cho việc giải quyết hồ sơ được nhanh chóng, thuận tiện.</w:t>
      </w:r>
    </w:p>
    <w:p w14:paraId="4D894789" w14:textId="6B1706E4" w:rsidR="00DE27B0" w:rsidRPr="00816FCE" w:rsidRDefault="0065286F" w:rsidP="00816FCE">
      <w:pPr>
        <w:spacing w:before="60" w:line="360" w:lineRule="exact"/>
        <w:ind w:firstLine="709"/>
        <w:jc w:val="both"/>
        <w:rPr>
          <w:rFonts w:asciiTheme="majorHAnsi" w:hAnsiTheme="majorHAnsi" w:cstheme="majorHAnsi"/>
          <w:szCs w:val="28"/>
          <w:highlight w:val="white"/>
          <w:shd w:val="clear" w:color="auto" w:fill="FFFFFF"/>
        </w:rPr>
      </w:pPr>
      <w:r>
        <w:rPr>
          <w:rFonts w:asciiTheme="majorHAnsi" w:hAnsiTheme="majorHAnsi" w:cstheme="majorHAnsi"/>
          <w:szCs w:val="28"/>
          <w:highlight w:val="white"/>
        </w:rPr>
        <w:t>2.4.</w:t>
      </w:r>
      <w:r w:rsidR="00DE27B0" w:rsidRPr="00816FCE">
        <w:rPr>
          <w:rFonts w:asciiTheme="majorHAnsi" w:hAnsiTheme="majorHAnsi" w:cstheme="majorHAnsi"/>
          <w:szCs w:val="28"/>
          <w:highlight w:val="white"/>
        </w:rPr>
        <w:t xml:space="preserve"> </w:t>
      </w:r>
      <w:r w:rsidR="005C4B6A" w:rsidRPr="00816FCE">
        <w:rPr>
          <w:rFonts w:asciiTheme="majorHAnsi" w:hAnsiTheme="majorHAnsi" w:cstheme="majorHAnsi"/>
          <w:szCs w:val="28"/>
          <w:highlight w:val="white"/>
        </w:rPr>
        <w:t>Về việc thực hiện kiểm tra, giám sát sau khi phân cấp: Bộ Y tế đã ban hành Quyết định số 4369/QĐ-BYT ngày 23/9/2019 quy định về nội dung và thời gian kiểm tra, đánh giá việc thực hiện các quy định quản lý nhà nước về dược, mỹ phẩm, trong đó có nội dung kiểm tra Sở Y tế về c</w:t>
      </w:r>
      <w:r w:rsidR="005C4B6A" w:rsidRPr="00816FCE">
        <w:rPr>
          <w:rFonts w:asciiTheme="majorHAnsi" w:hAnsiTheme="majorHAnsi" w:cstheme="majorHAnsi"/>
          <w:szCs w:val="28"/>
          <w:highlight w:val="white"/>
          <w:shd w:val="clear" w:color="auto" w:fill="FFFFFF"/>
        </w:rPr>
        <w:t xml:space="preserve">ông tác triển khai các thủ tục hành chính liên quan đến lĩnh vực quản lý dược và mỹ phẩm thuộc phạm vi của Sở Y tế. Hằng năm, Cục Quản lý Dược đã thành lập các Đoàn công tác để kiểm tra, giám sát Sở Y tế theo Quyết định trên. </w:t>
      </w:r>
    </w:p>
    <w:p w14:paraId="2471FF57" w14:textId="378CF9B7" w:rsidR="005C4B6A" w:rsidRPr="00816FCE" w:rsidRDefault="005C4B6A" w:rsidP="00816FCE">
      <w:pPr>
        <w:spacing w:before="60" w:line="360" w:lineRule="exact"/>
        <w:ind w:firstLine="709"/>
        <w:jc w:val="both"/>
        <w:rPr>
          <w:rFonts w:asciiTheme="majorHAnsi" w:hAnsiTheme="majorHAnsi" w:cstheme="majorHAnsi"/>
          <w:szCs w:val="28"/>
          <w:highlight w:val="white"/>
          <w:shd w:val="clear" w:color="auto" w:fill="FFFFFF"/>
        </w:rPr>
      </w:pPr>
      <w:r w:rsidRPr="00816FCE">
        <w:rPr>
          <w:rFonts w:asciiTheme="majorHAnsi" w:hAnsiTheme="majorHAnsi" w:cstheme="majorHAnsi"/>
          <w:szCs w:val="28"/>
          <w:highlight w:val="white"/>
          <w:shd w:val="clear" w:color="auto" w:fill="FFFFFF"/>
        </w:rPr>
        <w:t>Như vậy</w:t>
      </w:r>
      <w:r w:rsidR="006B0CFA" w:rsidRPr="00816FCE">
        <w:rPr>
          <w:rFonts w:asciiTheme="majorHAnsi" w:hAnsiTheme="majorHAnsi" w:cstheme="majorHAnsi"/>
          <w:szCs w:val="28"/>
          <w:highlight w:val="white"/>
          <w:shd w:val="clear" w:color="auto" w:fill="FFFFFF"/>
        </w:rPr>
        <w:t>, các quy định về phân cấp tại dự thảo Thông tư là phù hợp với chủ trương, đường lối của Đảng, phù hợp với điều kiện thực tiễn.</w:t>
      </w:r>
    </w:p>
    <w:p w14:paraId="3654B314" w14:textId="5DADAFE1" w:rsidR="006B0CFA" w:rsidRPr="00816FCE" w:rsidRDefault="006B0CFA" w:rsidP="00816FCE">
      <w:pPr>
        <w:spacing w:before="60" w:line="360" w:lineRule="exact"/>
        <w:ind w:firstLine="709"/>
        <w:jc w:val="both"/>
        <w:rPr>
          <w:rFonts w:asciiTheme="majorHAnsi" w:hAnsiTheme="majorHAnsi" w:cstheme="majorHAnsi"/>
          <w:szCs w:val="28"/>
          <w:highlight w:val="white"/>
          <w:shd w:val="clear" w:color="auto" w:fill="FFFFFF"/>
        </w:rPr>
      </w:pPr>
      <w:r w:rsidRPr="00816FCE">
        <w:rPr>
          <w:rFonts w:asciiTheme="majorHAnsi" w:hAnsiTheme="majorHAnsi" w:cstheme="majorHAnsi"/>
          <w:szCs w:val="28"/>
          <w:highlight w:val="white"/>
          <w:shd w:val="clear" w:color="auto" w:fill="FFFFFF"/>
        </w:rPr>
        <w:t>3. Việc bảo đảm bình đẳng giới: Dự thảo Thông tư không có nội dung liên quan đến vấn đề giới.</w:t>
      </w:r>
    </w:p>
    <w:p w14:paraId="6B41252D" w14:textId="38992492" w:rsidR="006B0CFA" w:rsidRPr="00816FCE" w:rsidRDefault="006B0CFA" w:rsidP="00816FCE">
      <w:pPr>
        <w:spacing w:before="60" w:line="360" w:lineRule="exact"/>
        <w:ind w:firstLine="709"/>
        <w:jc w:val="both"/>
        <w:rPr>
          <w:rFonts w:asciiTheme="majorHAnsi" w:hAnsiTheme="majorHAnsi" w:cstheme="majorHAnsi"/>
          <w:szCs w:val="28"/>
          <w:highlight w:val="white"/>
          <w:shd w:val="clear" w:color="auto" w:fill="FFFFFF"/>
        </w:rPr>
      </w:pPr>
      <w:r w:rsidRPr="00816FCE">
        <w:rPr>
          <w:rFonts w:asciiTheme="majorHAnsi" w:hAnsiTheme="majorHAnsi" w:cstheme="majorHAnsi"/>
          <w:szCs w:val="28"/>
          <w:highlight w:val="white"/>
          <w:shd w:val="clear" w:color="auto" w:fill="FFFFFF"/>
        </w:rPr>
        <w:t>4. Việc thực hiện chính sách dân tộc: Phạm vi điều chỉnh của Thông tư là hướng dẫn một số điều khoản do Luật Dược và Nghị định số 54/2017/NĐ-</w:t>
      </w:r>
      <w:r w:rsidRPr="00816FCE">
        <w:rPr>
          <w:rFonts w:asciiTheme="majorHAnsi" w:hAnsiTheme="majorHAnsi" w:cstheme="majorHAnsi"/>
          <w:szCs w:val="28"/>
          <w:highlight w:val="white"/>
          <w:u w:color="FF0000"/>
          <w:shd w:val="clear" w:color="auto" w:fill="FFFFFF"/>
        </w:rPr>
        <w:t>CP giao</w:t>
      </w:r>
      <w:r w:rsidRPr="00816FCE">
        <w:rPr>
          <w:rFonts w:asciiTheme="majorHAnsi" w:hAnsiTheme="majorHAnsi" w:cstheme="majorHAnsi"/>
          <w:szCs w:val="28"/>
          <w:highlight w:val="white"/>
          <w:shd w:val="clear" w:color="auto" w:fill="FFFFFF"/>
        </w:rPr>
        <w:t xml:space="preserve"> Chính phủ quy định. Các nội dung dự thảo đảm bảo thực hiện đúng chính sách dân tộc (đã được đánh giá tại hồ sơ xây dựng Luật và Nghị định).</w:t>
      </w:r>
    </w:p>
    <w:bookmarkEnd w:id="0"/>
    <w:p w14:paraId="4B446B3A" w14:textId="2096F0C5" w:rsidR="00F04D9B" w:rsidRPr="00372DA8" w:rsidRDefault="00F04D9B" w:rsidP="00816FCE">
      <w:pPr>
        <w:spacing w:before="60" w:after="160" w:line="259" w:lineRule="auto"/>
        <w:ind w:firstLine="709"/>
        <w:rPr>
          <w:rFonts w:asciiTheme="majorHAnsi" w:hAnsiTheme="majorHAnsi" w:cstheme="majorHAnsi"/>
          <w:b/>
          <w:bCs/>
          <w:sz w:val="26"/>
          <w:szCs w:val="26"/>
          <w:highlight w:val="white"/>
          <w:lang w:eastAsia="vi-VN"/>
        </w:rPr>
      </w:pPr>
    </w:p>
    <w:sectPr w:rsidR="00F04D9B" w:rsidRPr="00372DA8" w:rsidSect="00B10994">
      <w:headerReference w:type="default" r:id="rId15"/>
      <w:pgSz w:w="11907" w:h="16840" w:code="9"/>
      <w:pgMar w:top="1021" w:right="1021" w:bottom="1021" w:left="158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6FF9E" w14:textId="77777777" w:rsidR="004B5B49" w:rsidRDefault="004B5B49" w:rsidP="0002780F">
      <w:r>
        <w:separator/>
      </w:r>
    </w:p>
  </w:endnote>
  <w:endnote w:type="continuationSeparator" w:id="0">
    <w:p w14:paraId="0C504C96" w14:textId="77777777" w:rsidR="004B5B49" w:rsidRDefault="004B5B49" w:rsidP="0002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DA3B" w14:textId="77777777" w:rsidR="004B5B49" w:rsidRDefault="004B5B49" w:rsidP="0002780F">
      <w:r>
        <w:separator/>
      </w:r>
    </w:p>
  </w:footnote>
  <w:footnote w:type="continuationSeparator" w:id="0">
    <w:p w14:paraId="780D2CA3" w14:textId="77777777" w:rsidR="004B5B49" w:rsidRDefault="004B5B49" w:rsidP="00027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67F2" w14:textId="265CA962" w:rsidR="00BA7786" w:rsidRPr="00BC4EDE" w:rsidRDefault="00BA7786" w:rsidP="00BC4EDE">
    <w:pPr>
      <w:pStyle w:val="Header"/>
      <w:tabs>
        <w:tab w:val="clear" w:pos="4680"/>
        <w:tab w:val="center" w:pos="4677"/>
        <w:tab w:val="left" w:pos="5220"/>
      </w:tabs>
      <w:rPr>
        <w:rFonts w:asciiTheme="majorHAnsi" w:hAnsiTheme="majorHAnsi" w:cstheme="majorHAnsi"/>
        <w:sz w:val="26"/>
        <w:szCs w:val="26"/>
      </w:rPr>
    </w:pPr>
    <w:r w:rsidRPr="00BC4EDE">
      <w:rPr>
        <w:rFonts w:asciiTheme="majorHAnsi" w:hAnsiTheme="majorHAnsi" w:cstheme="majorHAnsi"/>
        <w:sz w:val="26"/>
        <w:szCs w:val="26"/>
      </w:rPr>
      <w:tab/>
    </w:r>
    <w:sdt>
      <w:sdtPr>
        <w:rPr>
          <w:rFonts w:asciiTheme="majorHAnsi" w:hAnsiTheme="majorHAnsi" w:cstheme="majorHAnsi"/>
          <w:sz w:val="26"/>
          <w:szCs w:val="26"/>
        </w:rPr>
        <w:id w:val="-806240607"/>
        <w:docPartObj>
          <w:docPartGallery w:val="Page Numbers (Top of Page)"/>
          <w:docPartUnique/>
        </w:docPartObj>
      </w:sdtPr>
      <w:sdtEndPr>
        <w:rPr>
          <w:noProof/>
        </w:rPr>
      </w:sdtEndPr>
      <w:sdtContent>
        <w:r w:rsidRPr="00BC4EDE">
          <w:rPr>
            <w:rFonts w:asciiTheme="majorHAnsi" w:hAnsiTheme="majorHAnsi" w:cstheme="majorHAnsi"/>
            <w:sz w:val="26"/>
            <w:szCs w:val="26"/>
          </w:rPr>
          <w:fldChar w:fldCharType="begin"/>
        </w:r>
        <w:r w:rsidRPr="00BC4EDE">
          <w:rPr>
            <w:rFonts w:asciiTheme="majorHAnsi" w:hAnsiTheme="majorHAnsi" w:cstheme="majorHAnsi"/>
            <w:sz w:val="26"/>
            <w:szCs w:val="26"/>
          </w:rPr>
          <w:instrText xml:space="preserve"> PAGE   \* MERGEFORMAT </w:instrText>
        </w:r>
        <w:r w:rsidRPr="00BC4EDE">
          <w:rPr>
            <w:rFonts w:asciiTheme="majorHAnsi" w:hAnsiTheme="majorHAnsi" w:cstheme="majorHAnsi"/>
            <w:sz w:val="26"/>
            <w:szCs w:val="26"/>
          </w:rPr>
          <w:fldChar w:fldCharType="separate"/>
        </w:r>
        <w:r w:rsidR="00252573">
          <w:rPr>
            <w:rFonts w:asciiTheme="majorHAnsi" w:hAnsiTheme="majorHAnsi" w:cstheme="majorHAnsi"/>
            <w:noProof/>
            <w:sz w:val="26"/>
            <w:szCs w:val="26"/>
          </w:rPr>
          <w:t>3</w:t>
        </w:r>
        <w:r w:rsidRPr="00BC4EDE">
          <w:rPr>
            <w:rFonts w:asciiTheme="majorHAnsi" w:hAnsiTheme="majorHAnsi" w:cstheme="majorHAnsi"/>
            <w:noProof/>
            <w:sz w:val="26"/>
            <w:szCs w:val="26"/>
          </w:rPr>
          <w:fldChar w:fldCharType="end"/>
        </w:r>
      </w:sdtContent>
    </w:sdt>
    <w:r w:rsidRPr="00BC4EDE">
      <w:rPr>
        <w:rFonts w:asciiTheme="majorHAnsi" w:hAnsiTheme="majorHAnsi" w:cstheme="majorHAnsi"/>
        <w:noProof/>
        <w:sz w:val="26"/>
        <w:szCs w:val="26"/>
      </w:rPr>
      <w:tab/>
    </w:r>
  </w:p>
  <w:p w14:paraId="42309B8F" w14:textId="77777777" w:rsidR="00BA7786" w:rsidRDefault="00BA77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ECE"/>
    <w:multiLevelType w:val="hybridMultilevel"/>
    <w:tmpl w:val="00809B22"/>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 w15:restartNumberingAfterBreak="0">
    <w:nsid w:val="07230629"/>
    <w:multiLevelType w:val="hybridMultilevel"/>
    <w:tmpl w:val="21F0474C"/>
    <w:lvl w:ilvl="0" w:tplc="A2D67D9A">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569A"/>
    <w:multiLevelType w:val="hybridMultilevel"/>
    <w:tmpl w:val="3F807B2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146B087E"/>
    <w:multiLevelType w:val="hybridMultilevel"/>
    <w:tmpl w:val="67D02916"/>
    <w:lvl w:ilvl="0" w:tplc="231C3B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DF48CD"/>
    <w:multiLevelType w:val="hybridMultilevel"/>
    <w:tmpl w:val="D5F82AFE"/>
    <w:lvl w:ilvl="0" w:tplc="0CD6C9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A61EF"/>
    <w:multiLevelType w:val="hybridMultilevel"/>
    <w:tmpl w:val="9E467C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ED4EC2"/>
    <w:multiLevelType w:val="singleLevel"/>
    <w:tmpl w:val="42B0C548"/>
    <w:lvl w:ilvl="0">
      <w:start w:val="1"/>
      <w:numFmt w:val="decimal"/>
      <w:lvlText w:val="%1."/>
      <w:lvlJc w:val="left"/>
      <w:pPr>
        <w:tabs>
          <w:tab w:val="num" w:pos="1080"/>
        </w:tabs>
        <w:ind w:left="1080" w:hanging="360"/>
      </w:pPr>
      <w:rPr>
        <w:rFonts w:hint="default"/>
      </w:rPr>
    </w:lvl>
  </w:abstractNum>
  <w:abstractNum w:abstractNumId="7" w15:restartNumberingAfterBreak="0">
    <w:nsid w:val="286F777F"/>
    <w:multiLevelType w:val="hybridMultilevel"/>
    <w:tmpl w:val="3C641A36"/>
    <w:lvl w:ilvl="0" w:tplc="0409000F">
      <w:start w:val="1"/>
      <w:numFmt w:val="decimal"/>
      <w:lvlText w:val="%1."/>
      <w:lvlJc w:val="left"/>
      <w:pPr>
        <w:tabs>
          <w:tab w:val="num" w:pos="1440"/>
        </w:tabs>
        <w:ind w:left="144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290A2B67"/>
    <w:multiLevelType w:val="hybridMultilevel"/>
    <w:tmpl w:val="9FD65BA6"/>
    <w:lvl w:ilvl="0" w:tplc="59D22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BE114F"/>
    <w:multiLevelType w:val="hybridMultilevel"/>
    <w:tmpl w:val="59FED5F6"/>
    <w:lvl w:ilvl="0" w:tplc="09D0D36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4A7052"/>
    <w:multiLevelType w:val="hybridMultilevel"/>
    <w:tmpl w:val="8C7AC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6E1692"/>
    <w:multiLevelType w:val="singleLevel"/>
    <w:tmpl w:val="5ABC5B3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E3C026F"/>
    <w:multiLevelType w:val="hybridMultilevel"/>
    <w:tmpl w:val="93000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1C48EE"/>
    <w:multiLevelType w:val="hybridMultilevel"/>
    <w:tmpl w:val="8BB29F62"/>
    <w:lvl w:ilvl="0" w:tplc="89004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F761A"/>
    <w:multiLevelType w:val="singleLevel"/>
    <w:tmpl w:val="184A219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71A017A"/>
    <w:multiLevelType w:val="hybridMultilevel"/>
    <w:tmpl w:val="9E467C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050D32"/>
    <w:multiLevelType w:val="hybridMultilevel"/>
    <w:tmpl w:val="02025B70"/>
    <w:lvl w:ilvl="0" w:tplc="61B248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6B1AAC"/>
    <w:multiLevelType w:val="hybridMultilevel"/>
    <w:tmpl w:val="E5F22420"/>
    <w:lvl w:ilvl="0" w:tplc="A4B42F0A">
      <w:numFmt w:val="bullet"/>
      <w:lvlText w:val="-"/>
      <w:lvlJc w:val="left"/>
      <w:pPr>
        <w:ind w:left="1440" w:hanging="360"/>
      </w:pPr>
      <w:rPr>
        <w:rFonts w:ascii="Times New Roman" w:hAnsi="Times New Roman"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980CED"/>
    <w:multiLevelType w:val="hybridMultilevel"/>
    <w:tmpl w:val="A4B65C4C"/>
    <w:lvl w:ilvl="0" w:tplc="8D125F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236E59"/>
    <w:multiLevelType w:val="hybridMultilevel"/>
    <w:tmpl w:val="190EA338"/>
    <w:lvl w:ilvl="0" w:tplc="0922C354">
      <w:start w:val="1"/>
      <w:numFmt w:val="decimal"/>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15:restartNumberingAfterBreak="0">
    <w:nsid w:val="6FE14FDB"/>
    <w:multiLevelType w:val="hybridMultilevel"/>
    <w:tmpl w:val="3A380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7C3848"/>
    <w:multiLevelType w:val="hybridMultilevel"/>
    <w:tmpl w:val="7B4C9ADA"/>
    <w:lvl w:ilvl="0" w:tplc="2E920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A23CD0"/>
    <w:multiLevelType w:val="hybridMultilevel"/>
    <w:tmpl w:val="28582B20"/>
    <w:lvl w:ilvl="0" w:tplc="CE7ACB62">
      <w:start w:val="57"/>
      <w:numFmt w:val="bullet"/>
      <w:lvlText w:val="-"/>
      <w:lvlJc w:val="left"/>
      <w:pPr>
        <w:tabs>
          <w:tab w:val="num" w:pos="1425"/>
        </w:tabs>
        <w:ind w:left="1425" w:hanging="360"/>
      </w:pPr>
      <w:rPr>
        <w:rFonts w:ascii="Times New Roman" w:eastAsia="Times New Roman"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74D13707"/>
    <w:multiLevelType w:val="hybridMultilevel"/>
    <w:tmpl w:val="798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D0A8B"/>
    <w:multiLevelType w:val="hybridMultilevel"/>
    <w:tmpl w:val="66A0740E"/>
    <w:lvl w:ilvl="0" w:tplc="5E2296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7"/>
  </w:num>
  <w:num w:numId="5">
    <w:abstractNumId w:val="0"/>
  </w:num>
  <w:num w:numId="6">
    <w:abstractNumId w:val="20"/>
  </w:num>
  <w:num w:numId="7">
    <w:abstractNumId w:val="22"/>
  </w:num>
  <w:num w:numId="8">
    <w:abstractNumId w:val="16"/>
  </w:num>
  <w:num w:numId="9">
    <w:abstractNumId w:val="12"/>
  </w:num>
  <w:num w:numId="10">
    <w:abstractNumId w:val="24"/>
  </w:num>
  <w:num w:numId="11">
    <w:abstractNumId w:val="1"/>
  </w:num>
  <w:num w:numId="12">
    <w:abstractNumId w:val="8"/>
  </w:num>
  <w:num w:numId="13">
    <w:abstractNumId w:val="13"/>
  </w:num>
  <w:num w:numId="14">
    <w:abstractNumId w:val="18"/>
  </w:num>
  <w:num w:numId="15">
    <w:abstractNumId w:val="3"/>
  </w:num>
  <w:num w:numId="16">
    <w:abstractNumId w:val="4"/>
  </w:num>
  <w:num w:numId="17">
    <w:abstractNumId w:val="21"/>
  </w:num>
  <w:num w:numId="18">
    <w:abstractNumId w:val="19"/>
  </w:num>
  <w:num w:numId="19">
    <w:abstractNumId w:val="9"/>
  </w:num>
  <w:num w:numId="20">
    <w:abstractNumId w:val="15"/>
  </w:num>
  <w:num w:numId="21">
    <w:abstractNumId w:val="5"/>
  </w:num>
  <w:num w:numId="22">
    <w:abstractNumId w:val="2"/>
  </w:num>
  <w:num w:numId="23">
    <w:abstractNumId w:val="10"/>
  </w:num>
  <w:num w:numId="24">
    <w:abstractNumId w:val="25"/>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0F"/>
    <w:rsid w:val="000129D0"/>
    <w:rsid w:val="000141F6"/>
    <w:rsid w:val="00020F83"/>
    <w:rsid w:val="00025BF7"/>
    <w:rsid w:val="00025D61"/>
    <w:rsid w:val="0002780F"/>
    <w:rsid w:val="000310E2"/>
    <w:rsid w:val="00033BC0"/>
    <w:rsid w:val="00045ED7"/>
    <w:rsid w:val="00050CB4"/>
    <w:rsid w:val="000519CF"/>
    <w:rsid w:val="00057C9F"/>
    <w:rsid w:val="00057F76"/>
    <w:rsid w:val="000608F8"/>
    <w:rsid w:val="00062D1F"/>
    <w:rsid w:val="000670D3"/>
    <w:rsid w:val="00075968"/>
    <w:rsid w:val="00075FBF"/>
    <w:rsid w:val="00081653"/>
    <w:rsid w:val="00086BE9"/>
    <w:rsid w:val="000871B8"/>
    <w:rsid w:val="00093335"/>
    <w:rsid w:val="00095BF1"/>
    <w:rsid w:val="0009776A"/>
    <w:rsid w:val="000A04C5"/>
    <w:rsid w:val="000A67CA"/>
    <w:rsid w:val="000A6881"/>
    <w:rsid w:val="000A68B8"/>
    <w:rsid w:val="000A7177"/>
    <w:rsid w:val="000B098D"/>
    <w:rsid w:val="000B3865"/>
    <w:rsid w:val="000B5F51"/>
    <w:rsid w:val="000C5BA8"/>
    <w:rsid w:val="000C68BF"/>
    <w:rsid w:val="000C75DE"/>
    <w:rsid w:val="000E256E"/>
    <w:rsid w:val="000E3746"/>
    <w:rsid w:val="000E3D6A"/>
    <w:rsid w:val="000E4498"/>
    <w:rsid w:val="000F4E82"/>
    <w:rsid w:val="00111968"/>
    <w:rsid w:val="001264EF"/>
    <w:rsid w:val="001268A3"/>
    <w:rsid w:val="00126A7B"/>
    <w:rsid w:val="00127A23"/>
    <w:rsid w:val="0013389F"/>
    <w:rsid w:val="00143D9F"/>
    <w:rsid w:val="001521B0"/>
    <w:rsid w:val="00153A6D"/>
    <w:rsid w:val="00163878"/>
    <w:rsid w:val="001663E0"/>
    <w:rsid w:val="00166975"/>
    <w:rsid w:val="001734B9"/>
    <w:rsid w:val="00175823"/>
    <w:rsid w:val="00181CDC"/>
    <w:rsid w:val="001825AB"/>
    <w:rsid w:val="00185A78"/>
    <w:rsid w:val="00187362"/>
    <w:rsid w:val="00193B6E"/>
    <w:rsid w:val="00194C2E"/>
    <w:rsid w:val="00195D3D"/>
    <w:rsid w:val="00196E05"/>
    <w:rsid w:val="001A3E0A"/>
    <w:rsid w:val="001A4727"/>
    <w:rsid w:val="001B062F"/>
    <w:rsid w:val="001C1459"/>
    <w:rsid w:val="001C16AF"/>
    <w:rsid w:val="001C72CA"/>
    <w:rsid w:val="001D1F2D"/>
    <w:rsid w:val="001D4B27"/>
    <w:rsid w:val="001E0C1E"/>
    <w:rsid w:val="001E45EE"/>
    <w:rsid w:val="001F1697"/>
    <w:rsid w:val="00203DDB"/>
    <w:rsid w:val="00210657"/>
    <w:rsid w:val="002113CE"/>
    <w:rsid w:val="00212FE1"/>
    <w:rsid w:val="00214409"/>
    <w:rsid w:val="00215BD3"/>
    <w:rsid w:val="002169DF"/>
    <w:rsid w:val="00220A68"/>
    <w:rsid w:val="002278A2"/>
    <w:rsid w:val="002314F3"/>
    <w:rsid w:val="002354DC"/>
    <w:rsid w:val="00244995"/>
    <w:rsid w:val="00247C77"/>
    <w:rsid w:val="002510EF"/>
    <w:rsid w:val="00251175"/>
    <w:rsid w:val="0025195A"/>
    <w:rsid w:val="00252573"/>
    <w:rsid w:val="00257A24"/>
    <w:rsid w:val="00260178"/>
    <w:rsid w:val="00260724"/>
    <w:rsid w:val="002649A8"/>
    <w:rsid w:val="0027725F"/>
    <w:rsid w:val="002816F8"/>
    <w:rsid w:val="002840E5"/>
    <w:rsid w:val="0029236F"/>
    <w:rsid w:val="002A0E03"/>
    <w:rsid w:val="002A3292"/>
    <w:rsid w:val="002A421A"/>
    <w:rsid w:val="002A5BAC"/>
    <w:rsid w:val="002B0DE4"/>
    <w:rsid w:val="002B6A41"/>
    <w:rsid w:val="002C3B80"/>
    <w:rsid w:val="002D1A5B"/>
    <w:rsid w:val="002D316D"/>
    <w:rsid w:val="002E2929"/>
    <w:rsid w:val="002E57BC"/>
    <w:rsid w:val="002F20B8"/>
    <w:rsid w:val="002F7CC0"/>
    <w:rsid w:val="002F7D42"/>
    <w:rsid w:val="00301BF2"/>
    <w:rsid w:val="00302934"/>
    <w:rsid w:val="00303467"/>
    <w:rsid w:val="003034D3"/>
    <w:rsid w:val="0030362F"/>
    <w:rsid w:val="00305E72"/>
    <w:rsid w:val="003070E5"/>
    <w:rsid w:val="00314621"/>
    <w:rsid w:val="00321A95"/>
    <w:rsid w:val="003376DF"/>
    <w:rsid w:val="00337C36"/>
    <w:rsid w:val="003445A8"/>
    <w:rsid w:val="003665E4"/>
    <w:rsid w:val="00372DA8"/>
    <w:rsid w:val="0037615B"/>
    <w:rsid w:val="0038336E"/>
    <w:rsid w:val="00385230"/>
    <w:rsid w:val="003920A9"/>
    <w:rsid w:val="00392D1A"/>
    <w:rsid w:val="00396D57"/>
    <w:rsid w:val="0039735E"/>
    <w:rsid w:val="003B017E"/>
    <w:rsid w:val="003B2DC2"/>
    <w:rsid w:val="003B43F8"/>
    <w:rsid w:val="003B5514"/>
    <w:rsid w:val="003B6200"/>
    <w:rsid w:val="003C3796"/>
    <w:rsid w:val="003C7E2D"/>
    <w:rsid w:val="003D222F"/>
    <w:rsid w:val="003D3367"/>
    <w:rsid w:val="003E2003"/>
    <w:rsid w:val="003E3A23"/>
    <w:rsid w:val="003E6DD0"/>
    <w:rsid w:val="003F1318"/>
    <w:rsid w:val="003F2CEB"/>
    <w:rsid w:val="003F411F"/>
    <w:rsid w:val="003F52D2"/>
    <w:rsid w:val="00403A7D"/>
    <w:rsid w:val="00403D34"/>
    <w:rsid w:val="004134F1"/>
    <w:rsid w:val="00430DEF"/>
    <w:rsid w:val="00432755"/>
    <w:rsid w:val="00432DCE"/>
    <w:rsid w:val="00442A93"/>
    <w:rsid w:val="00443CDF"/>
    <w:rsid w:val="004526BB"/>
    <w:rsid w:val="00464E1F"/>
    <w:rsid w:val="00464F55"/>
    <w:rsid w:val="004722E6"/>
    <w:rsid w:val="00472454"/>
    <w:rsid w:val="00474582"/>
    <w:rsid w:val="004B2211"/>
    <w:rsid w:val="004B2666"/>
    <w:rsid w:val="004B4452"/>
    <w:rsid w:val="004B5B49"/>
    <w:rsid w:val="004C024C"/>
    <w:rsid w:val="004C1AA5"/>
    <w:rsid w:val="004C26D7"/>
    <w:rsid w:val="004C6B83"/>
    <w:rsid w:val="004D6E58"/>
    <w:rsid w:val="004E034F"/>
    <w:rsid w:val="004F6CF3"/>
    <w:rsid w:val="00504EA4"/>
    <w:rsid w:val="005103F1"/>
    <w:rsid w:val="00543882"/>
    <w:rsid w:val="0054437A"/>
    <w:rsid w:val="00547144"/>
    <w:rsid w:val="00551864"/>
    <w:rsid w:val="005528A0"/>
    <w:rsid w:val="00553FCE"/>
    <w:rsid w:val="0055520F"/>
    <w:rsid w:val="00563C00"/>
    <w:rsid w:val="005641CB"/>
    <w:rsid w:val="005661A3"/>
    <w:rsid w:val="0056720C"/>
    <w:rsid w:val="005711CE"/>
    <w:rsid w:val="00577D0D"/>
    <w:rsid w:val="0058042C"/>
    <w:rsid w:val="00580527"/>
    <w:rsid w:val="005812B9"/>
    <w:rsid w:val="00582194"/>
    <w:rsid w:val="00582A7F"/>
    <w:rsid w:val="0058594F"/>
    <w:rsid w:val="0059154D"/>
    <w:rsid w:val="005A1D95"/>
    <w:rsid w:val="005B0BDB"/>
    <w:rsid w:val="005B3C77"/>
    <w:rsid w:val="005B576D"/>
    <w:rsid w:val="005C224D"/>
    <w:rsid w:val="005C432C"/>
    <w:rsid w:val="005C4B6A"/>
    <w:rsid w:val="005C77CB"/>
    <w:rsid w:val="005D184B"/>
    <w:rsid w:val="005D2A7B"/>
    <w:rsid w:val="005E44BD"/>
    <w:rsid w:val="005F4D58"/>
    <w:rsid w:val="005F55E4"/>
    <w:rsid w:val="0060390D"/>
    <w:rsid w:val="00606B8C"/>
    <w:rsid w:val="00606C27"/>
    <w:rsid w:val="00612387"/>
    <w:rsid w:val="00615B4E"/>
    <w:rsid w:val="006249CB"/>
    <w:rsid w:val="00624F06"/>
    <w:rsid w:val="00631C27"/>
    <w:rsid w:val="00633D78"/>
    <w:rsid w:val="00637F48"/>
    <w:rsid w:val="00646CB3"/>
    <w:rsid w:val="00650199"/>
    <w:rsid w:val="006515B0"/>
    <w:rsid w:val="0065286F"/>
    <w:rsid w:val="00654523"/>
    <w:rsid w:val="0066049B"/>
    <w:rsid w:val="00666134"/>
    <w:rsid w:val="0067031E"/>
    <w:rsid w:val="00671D35"/>
    <w:rsid w:val="00676396"/>
    <w:rsid w:val="00677C90"/>
    <w:rsid w:val="00680EDC"/>
    <w:rsid w:val="0069320E"/>
    <w:rsid w:val="006A04DB"/>
    <w:rsid w:val="006A6E80"/>
    <w:rsid w:val="006B0CFA"/>
    <w:rsid w:val="006B56F9"/>
    <w:rsid w:val="006B6187"/>
    <w:rsid w:val="006D1FFF"/>
    <w:rsid w:val="006D4F5E"/>
    <w:rsid w:val="006D631A"/>
    <w:rsid w:val="006E0CDF"/>
    <w:rsid w:val="006F77F5"/>
    <w:rsid w:val="00707BCB"/>
    <w:rsid w:val="007201CC"/>
    <w:rsid w:val="00724D33"/>
    <w:rsid w:val="0072615F"/>
    <w:rsid w:val="00727171"/>
    <w:rsid w:val="00734445"/>
    <w:rsid w:val="00734CA9"/>
    <w:rsid w:val="0073653F"/>
    <w:rsid w:val="00737CC0"/>
    <w:rsid w:val="00740022"/>
    <w:rsid w:val="007459B0"/>
    <w:rsid w:val="00750CBB"/>
    <w:rsid w:val="0075464E"/>
    <w:rsid w:val="00770DD6"/>
    <w:rsid w:val="00780AB6"/>
    <w:rsid w:val="00783C0C"/>
    <w:rsid w:val="00787F04"/>
    <w:rsid w:val="007935E4"/>
    <w:rsid w:val="007941CE"/>
    <w:rsid w:val="007A354A"/>
    <w:rsid w:val="007B1597"/>
    <w:rsid w:val="007C33DB"/>
    <w:rsid w:val="007D57C6"/>
    <w:rsid w:val="007E099F"/>
    <w:rsid w:val="007E23EA"/>
    <w:rsid w:val="007E473F"/>
    <w:rsid w:val="007E4B29"/>
    <w:rsid w:val="007F1087"/>
    <w:rsid w:val="0080214D"/>
    <w:rsid w:val="0080376B"/>
    <w:rsid w:val="008052F7"/>
    <w:rsid w:val="00806BC7"/>
    <w:rsid w:val="00816FCE"/>
    <w:rsid w:val="00817645"/>
    <w:rsid w:val="00832EF4"/>
    <w:rsid w:val="008368A6"/>
    <w:rsid w:val="00842DF4"/>
    <w:rsid w:val="008464C9"/>
    <w:rsid w:val="00854CD5"/>
    <w:rsid w:val="008555AE"/>
    <w:rsid w:val="00856498"/>
    <w:rsid w:val="008620AD"/>
    <w:rsid w:val="00862AB7"/>
    <w:rsid w:val="00863617"/>
    <w:rsid w:val="00863B0F"/>
    <w:rsid w:val="00864998"/>
    <w:rsid w:val="008674FC"/>
    <w:rsid w:val="0087336C"/>
    <w:rsid w:val="00875365"/>
    <w:rsid w:val="008769FA"/>
    <w:rsid w:val="00876E78"/>
    <w:rsid w:val="00884554"/>
    <w:rsid w:val="00892E81"/>
    <w:rsid w:val="00893A55"/>
    <w:rsid w:val="00895321"/>
    <w:rsid w:val="00896574"/>
    <w:rsid w:val="008B4EDF"/>
    <w:rsid w:val="008B5D7A"/>
    <w:rsid w:val="008B6CDA"/>
    <w:rsid w:val="008C0B9D"/>
    <w:rsid w:val="008D26F7"/>
    <w:rsid w:val="008D624D"/>
    <w:rsid w:val="008D797C"/>
    <w:rsid w:val="008F7AE2"/>
    <w:rsid w:val="0090090C"/>
    <w:rsid w:val="00903443"/>
    <w:rsid w:val="0090365B"/>
    <w:rsid w:val="00904930"/>
    <w:rsid w:val="00907276"/>
    <w:rsid w:val="00912E0B"/>
    <w:rsid w:val="00931EC8"/>
    <w:rsid w:val="00932F8C"/>
    <w:rsid w:val="00933F7E"/>
    <w:rsid w:val="00936D9D"/>
    <w:rsid w:val="00941D5A"/>
    <w:rsid w:val="009470F6"/>
    <w:rsid w:val="00950C85"/>
    <w:rsid w:val="00953C87"/>
    <w:rsid w:val="00954074"/>
    <w:rsid w:val="00963585"/>
    <w:rsid w:val="00972EDE"/>
    <w:rsid w:val="00974748"/>
    <w:rsid w:val="00977F40"/>
    <w:rsid w:val="00983EB0"/>
    <w:rsid w:val="009A33B6"/>
    <w:rsid w:val="009A3886"/>
    <w:rsid w:val="009A6B24"/>
    <w:rsid w:val="009A6CB1"/>
    <w:rsid w:val="009B3258"/>
    <w:rsid w:val="009B356C"/>
    <w:rsid w:val="009C23E7"/>
    <w:rsid w:val="009C5FAC"/>
    <w:rsid w:val="009D12BB"/>
    <w:rsid w:val="009D165C"/>
    <w:rsid w:val="009D3171"/>
    <w:rsid w:val="009D7A60"/>
    <w:rsid w:val="009D7FD5"/>
    <w:rsid w:val="009E038C"/>
    <w:rsid w:val="009E08D3"/>
    <w:rsid w:val="009E24D1"/>
    <w:rsid w:val="009F7799"/>
    <w:rsid w:val="00A0153D"/>
    <w:rsid w:val="00A06F72"/>
    <w:rsid w:val="00A1066E"/>
    <w:rsid w:val="00A1133B"/>
    <w:rsid w:val="00A15946"/>
    <w:rsid w:val="00A27B21"/>
    <w:rsid w:val="00A3396C"/>
    <w:rsid w:val="00A3757B"/>
    <w:rsid w:val="00A60FE5"/>
    <w:rsid w:val="00A62E0C"/>
    <w:rsid w:val="00A6590D"/>
    <w:rsid w:val="00A6708F"/>
    <w:rsid w:val="00A67AD8"/>
    <w:rsid w:val="00A709E7"/>
    <w:rsid w:val="00A7242F"/>
    <w:rsid w:val="00A764D4"/>
    <w:rsid w:val="00A77F07"/>
    <w:rsid w:val="00A84A72"/>
    <w:rsid w:val="00A8733C"/>
    <w:rsid w:val="00AA0FD1"/>
    <w:rsid w:val="00AA1F3B"/>
    <w:rsid w:val="00AA51CB"/>
    <w:rsid w:val="00AC191E"/>
    <w:rsid w:val="00AD16A5"/>
    <w:rsid w:val="00AD25D9"/>
    <w:rsid w:val="00AD7493"/>
    <w:rsid w:val="00AE669C"/>
    <w:rsid w:val="00AE70B7"/>
    <w:rsid w:val="00AF1173"/>
    <w:rsid w:val="00AF368A"/>
    <w:rsid w:val="00AF4D9A"/>
    <w:rsid w:val="00AF73E4"/>
    <w:rsid w:val="00B0191E"/>
    <w:rsid w:val="00B01A09"/>
    <w:rsid w:val="00B04B49"/>
    <w:rsid w:val="00B10994"/>
    <w:rsid w:val="00B14B5D"/>
    <w:rsid w:val="00B3575C"/>
    <w:rsid w:val="00B36433"/>
    <w:rsid w:val="00B36661"/>
    <w:rsid w:val="00B40487"/>
    <w:rsid w:val="00B41284"/>
    <w:rsid w:val="00B43AD4"/>
    <w:rsid w:val="00B4486D"/>
    <w:rsid w:val="00B6341F"/>
    <w:rsid w:val="00B747E2"/>
    <w:rsid w:val="00B75976"/>
    <w:rsid w:val="00B859AC"/>
    <w:rsid w:val="00B91006"/>
    <w:rsid w:val="00B93119"/>
    <w:rsid w:val="00B949EF"/>
    <w:rsid w:val="00BA4057"/>
    <w:rsid w:val="00BA7786"/>
    <w:rsid w:val="00BB2183"/>
    <w:rsid w:val="00BC4AC6"/>
    <w:rsid w:val="00BC4EDE"/>
    <w:rsid w:val="00BC7BFD"/>
    <w:rsid w:val="00BD3B9D"/>
    <w:rsid w:val="00BF4E45"/>
    <w:rsid w:val="00C0102E"/>
    <w:rsid w:val="00C02084"/>
    <w:rsid w:val="00C05FE4"/>
    <w:rsid w:val="00C07D73"/>
    <w:rsid w:val="00C1379D"/>
    <w:rsid w:val="00C20F99"/>
    <w:rsid w:val="00C2242A"/>
    <w:rsid w:val="00C33607"/>
    <w:rsid w:val="00C372BD"/>
    <w:rsid w:val="00C43A47"/>
    <w:rsid w:val="00C51B25"/>
    <w:rsid w:val="00C56057"/>
    <w:rsid w:val="00C56EEF"/>
    <w:rsid w:val="00C57824"/>
    <w:rsid w:val="00C7363F"/>
    <w:rsid w:val="00C811F8"/>
    <w:rsid w:val="00C81EA8"/>
    <w:rsid w:val="00C958C5"/>
    <w:rsid w:val="00C97214"/>
    <w:rsid w:val="00CA3875"/>
    <w:rsid w:val="00CB3BCA"/>
    <w:rsid w:val="00CB558B"/>
    <w:rsid w:val="00CB579F"/>
    <w:rsid w:val="00CC555A"/>
    <w:rsid w:val="00CD537E"/>
    <w:rsid w:val="00CE11FA"/>
    <w:rsid w:val="00CE3F1A"/>
    <w:rsid w:val="00CF0F48"/>
    <w:rsid w:val="00CF1D49"/>
    <w:rsid w:val="00CF3AEA"/>
    <w:rsid w:val="00D0119D"/>
    <w:rsid w:val="00D02D13"/>
    <w:rsid w:val="00D12204"/>
    <w:rsid w:val="00D14B52"/>
    <w:rsid w:val="00D14EE4"/>
    <w:rsid w:val="00D14F2D"/>
    <w:rsid w:val="00D17C2A"/>
    <w:rsid w:val="00D201FD"/>
    <w:rsid w:val="00D2616A"/>
    <w:rsid w:val="00D2770D"/>
    <w:rsid w:val="00D3385A"/>
    <w:rsid w:val="00D360BB"/>
    <w:rsid w:val="00D37049"/>
    <w:rsid w:val="00D44BD9"/>
    <w:rsid w:val="00D56243"/>
    <w:rsid w:val="00D572E4"/>
    <w:rsid w:val="00D608DF"/>
    <w:rsid w:val="00D63CA3"/>
    <w:rsid w:val="00D64DB7"/>
    <w:rsid w:val="00D66545"/>
    <w:rsid w:val="00D73192"/>
    <w:rsid w:val="00D767E8"/>
    <w:rsid w:val="00D83D4D"/>
    <w:rsid w:val="00D84F40"/>
    <w:rsid w:val="00D86CC7"/>
    <w:rsid w:val="00DA0735"/>
    <w:rsid w:val="00DA1ADE"/>
    <w:rsid w:val="00DA1FBC"/>
    <w:rsid w:val="00DA2B7A"/>
    <w:rsid w:val="00DA618C"/>
    <w:rsid w:val="00DB0CC2"/>
    <w:rsid w:val="00DB6A8A"/>
    <w:rsid w:val="00DC01FA"/>
    <w:rsid w:val="00DC1DF0"/>
    <w:rsid w:val="00DD02D3"/>
    <w:rsid w:val="00DD0722"/>
    <w:rsid w:val="00DD62DF"/>
    <w:rsid w:val="00DD6398"/>
    <w:rsid w:val="00DD7313"/>
    <w:rsid w:val="00DE1454"/>
    <w:rsid w:val="00DE1C02"/>
    <w:rsid w:val="00DE27B0"/>
    <w:rsid w:val="00DE5CF4"/>
    <w:rsid w:val="00DE652C"/>
    <w:rsid w:val="00DE6AAF"/>
    <w:rsid w:val="00DF0313"/>
    <w:rsid w:val="00DF3767"/>
    <w:rsid w:val="00DF3B65"/>
    <w:rsid w:val="00DF4968"/>
    <w:rsid w:val="00DF50B9"/>
    <w:rsid w:val="00E02B49"/>
    <w:rsid w:val="00E03AC8"/>
    <w:rsid w:val="00E101B9"/>
    <w:rsid w:val="00E12986"/>
    <w:rsid w:val="00E12D76"/>
    <w:rsid w:val="00E14608"/>
    <w:rsid w:val="00E165F2"/>
    <w:rsid w:val="00E16BB2"/>
    <w:rsid w:val="00E24D3F"/>
    <w:rsid w:val="00E260FC"/>
    <w:rsid w:val="00E300D0"/>
    <w:rsid w:val="00E30CC2"/>
    <w:rsid w:val="00E321FD"/>
    <w:rsid w:val="00E36047"/>
    <w:rsid w:val="00E37188"/>
    <w:rsid w:val="00E4130C"/>
    <w:rsid w:val="00E43349"/>
    <w:rsid w:val="00E45441"/>
    <w:rsid w:val="00E4648B"/>
    <w:rsid w:val="00E52EB9"/>
    <w:rsid w:val="00E571EB"/>
    <w:rsid w:val="00E66210"/>
    <w:rsid w:val="00E674F5"/>
    <w:rsid w:val="00E7787E"/>
    <w:rsid w:val="00E834C0"/>
    <w:rsid w:val="00E932A8"/>
    <w:rsid w:val="00EA0619"/>
    <w:rsid w:val="00EA0FBE"/>
    <w:rsid w:val="00EC2461"/>
    <w:rsid w:val="00ED3E55"/>
    <w:rsid w:val="00EE3765"/>
    <w:rsid w:val="00EE6538"/>
    <w:rsid w:val="00EE7A85"/>
    <w:rsid w:val="00EF0CE5"/>
    <w:rsid w:val="00EF122C"/>
    <w:rsid w:val="00F003F6"/>
    <w:rsid w:val="00F00C83"/>
    <w:rsid w:val="00F01428"/>
    <w:rsid w:val="00F0328E"/>
    <w:rsid w:val="00F04D9B"/>
    <w:rsid w:val="00F10376"/>
    <w:rsid w:val="00F1757D"/>
    <w:rsid w:val="00F24AC4"/>
    <w:rsid w:val="00F325A8"/>
    <w:rsid w:val="00F33B60"/>
    <w:rsid w:val="00F35B5D"/>
    <w:rsid w:val="00F42979"/>
    <w:rsid w:val="00F56114"/>
    <w:rsid w:val="00F61101"/>
    <w:rsid w:val="00F62FAA"/>
    <w:rsid w:val="00F67F9B"/>
    <w:rsid w:val="00F725B6"/>
    <w:rsid w:val="00F74A4A"/>
    <w:rsid w:val="00F7599F"/>
    <w:rsid w:val="00F764C7"/>
    <w:rsid w:val="00F84C3E"/>
    <w:rsid w:val="00F87198"/>
    <w:rsid w:val="00F96985"/>
    <w:rsid w:val="00FA2B22"/>
    <w:rsid w:val="00FA3E10"/>
    <w:rsid w:val="00FB3A10"/>
    <w:rsid w:val="00FC2390"/>
    <w:rsid w:val="00FD10A3"/>
    <w:rsid w:val="00FD14E0"/>
    <w:rsid w:val="00FE31E6"/>
    <w:rsid w:val="00FE47C7"/>
    <w:rsid w:val="00FE5F28"/>
    <w:rsid w:val="00FF4059"/>
    <w:rsid w:val="00FF4A3A"/>
    <w:rsid w:val="00FF6339"/>
    <w:rsid w:val="00FF73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CC4E2"/>
  <w15:docId w15:val="{D0784371-B96F-447C-91D4-C49F3DAF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9F"/>
    <w:pPr>
      <w:spacing w:after="0" w:line="240" w:lineRule="auto"/>
    </w:pPr>
    <w:rPr>
      <w:rFonts w:ascii=".VnTime" w:eastAsia="Times New Roman" w:hAnsi=".VnTime" w:cs="Times New Roman"/>
      <w:szCs w:val="20"/>
      <w:lang w:val="en-US"/>
    </w:rPr>
  </w:style>
  <w:style w:type="paragraph" w:styleId="Heading1">
    <w:name w:val="heading 1"/>
    <w:basedOn w:val="Normal"/>
    <w:next w:val="Normal"/>
    <w:link w:val="Heading1Char"/>
    <w:qFormat/>
    <w:rsid w:val="000278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2780F"/>
    <w:pPr>
      <w:keepNext/>
      <w:outlineLvl w:val="1"/>
    </w:pPr>
    <w:rPr>
      <w:i/>
      <w:sz w:val="26"/>
    </w:rPr>
  </w:style>
  <w:style w:type="paragraph" w:styleId="Heading3">
    <w:name w:val="heading 3"/>
    <w:basedOn w:val="Normal"/>
    <w:next w:val="Normal"/>
    <w:link w:val="Heading3Char"/>
    <w:qFormat/>
    <w:rsid w:val="0002780F"/>
    <w:pPr>
      <w:keepNext/>
      <w:ind w:right="-720"/>
      <w:jc w:val="center"/>
      <w:outlineLvl w:val="2"/>
    </w:pPr>
    <w:rPr>
      <w:rFonts w:ascii=".VnTimeH" w:hAnsi=".VnTimeH"/>
      <w:b/>
      <w:bCs/>
      <w:sz w:val="30"/>
    </w:rPr>
  </w:style>
  <w:style w:type="paragraph" w:styleId="Heading4">
    <w:name w:val="heading 4"/>
    <w:basedOn w:val="Normal"/>
    <w:next w:val="Normal"/>
    <w:link w:val="Heading4Char"/>
    <w:uiPriority w:val="9"/>
    <w:unhideWhenUsed/>
    <w:qFormat/>
    <w:rsid w:val="009F779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2780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80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2780F"/>
    <w:rPr>
      <w:rFonts w:ascii=".VnTime" w:eastAsia="Times New Roman" w:hAnsi=".VnTime" w:cs="Times New Roman"/>
      <w:i/>
      <w:sz w:val="26"/>
      <w:szCs w:val="20"/>
      <w:lang w:val="en-US"/>
    </w:rPr>
  </w:style>
  <w:style w:type="character" w:customStyle="1" w:styleId="Heading3Char">
    <w:name w:val="Heading 3 Char"/>
    <w:basedOn w:val="DefaultParagraphFont"/>
    <w:link w:val="Heading3"/>
    <w:rsid w:val="0002780F"/>
    <w:rPr>
      <w:rFonts w:ascii=".VnTimeH" w:eastAsia="Times New Roman" w:hAnsi=".VnTimeH" w:cs="Times New Roman"/>
      <w:b/>
      <w:bCs/>
      <w:sz w:val="30"/>
      <w:szCs w:val="20"/>
      <w:lang w:val="en-US"/>
    </w:rPr>
  </w:style>
  <w:style w:type="character" w:customStyle="1" w:styleId="Heading5Char">
    <w:name w:val="Heading 5 Char"/>
    <w:basedOn w:val="DefaultParagraphFont"/>
    <w:link w:val="Heading5"/>
    <w:rsid w:val="0002780F"/>
    <w:rPr>
      <w:rFonts w:ascii="Calibri" w:eastAsia="Times New Roman" w:hAnsi="Calibri" w:cs="Times New Roman"/>
      <w:b/>
      <w:bCs/>
      <w:i/>
      <w:iCs/>
      <w:sz w:val="26"/>
      <w:szCs w:val="26"/>
      <w:lang w:val="x-none" w:eastAsia="x-none"/>
    </w:rPr>
  </w:style>
  <w:style w:type="paragraph" w:styleId="BodyText">
    <w:name w:val="Body Text"/>
    <w:basedOn w:val="Normal"/>
    <w:link w:val="BodyTextChar"/>
    <w:rsid w:val="0002780F"/>
    <w:pPr>
      <w:jc w:val="center"/>
    </w:pPr>
    <w:rPr>
      <w:sz w:val="26"/>
    </w:rPr>
  </w:style>
  <w:style w:type="character" w:customStyle="1" w:styleId="BodyTextChar">
    <w:name w:val="Body Text Char"/>
    <w:basedOn w:val="DefaultParagraphFont"/>
    <w:link w:val="BodyText"/>
    <w:rsid w:val="0002780F"/>
    <w:rPr>
      <w:rFonts w:ascii=".VnTime" w:eastAsia="Times New Roman" w:hAnsi=".VnTime" w:cs="Times New Roman"/>
      <w:sz w:val="26"/>
      <w:szCs w:val="20"/>
      <w:lang w:val="en-US"/>
    </w:rPr>
  </w:style>
  <w:style w:type="paragraph" w:styleId="BalloonText">
    <w:name w:val="Balloon Text"/>
    <w:basedOn w:val="Normal"/>
    <w:link w:val="BalloonTextChar"/>
    <w:semiHidden/>
    <w:rsid w:val="0002780F"/>
    <w:rPr>
      <w:rFonts w:ascii="Tahoma" w:hAnsi="Tahoma" w:cs="Tahoma"/>
      <w:sz w:val="16"/>
      <w:szCs w:val="16"/>
    </w:rPr>
  </w:style>
  <w:style w:type="character" w:customStyle="1" w:styleId="BalloonTextChar">
    <w:name w:val="Balloon Text Char"/>
    <w:basedOn w:val="DefaultParagraphFont"/>
    <w:link w:val="BalloonText"/>
    <w:semiHidden/>
    <w:rsid w:val="0002780F"/>
    <w:rPr>
      <w:rFonts w:ascii="Tahoma" w:eastAsia="Times New Roman" w:hAnsi="Tahoma" w:cs="Tahoma"/>
      <w:sz w:val="16"/>
      <w:szCs w:val="16"/>
      <w:lang w:val="en-US"/>
    </w:rPr>
  </w:style>
  <w:style w:type="paragraph" w:styleId="BodyText2">
    <w:name w:val="Body Text 2"/>
    <w:basedOn w:val="Normal"/>
    <w:link w:val="BodyText2Char"/>
    <w:rsid w:val="0002780F"/>
    <w:pPr>
      <w:jc w:val="both"/>
    </w:pPr>
  </w:style>
  <w:style w:type="character" w:customStyle="1" w:styleId="BodyText2Char">
    <w:name w:val="Body Text 2 Char"/>
    <w:basedOn w:val="DefaultParagraphFont"/>
    <w:link w:val="BodyText2"/>
    <w:rsid w:val="0002780F"/>
    <w:rPr>
      <w:rFonts w:ascii=".VnTime" w:eastAsia="Times New Roman" w:hAnsi=".VnTime" w:cs="Times New Roman"/>
      <w:szCs w:val="20"/>
      <w:lang w:val="en-US"/>
    </w:rPr>
  </w:style>
  <w:style w:type="paragraph" w:styleId="BodyTextIndent">
    <w:name w:val="Body Text Indent"/>
    <w:basedOn w:val="Normal"/>
    <w:link w:val="BodyTextIndentChar"/>
    <w:rsid w:val="0002780F"/>
    <w:pPr>
      <w:spacing w:after="120"/>
      <w:ind w:firstLine="720"/>
      <w:jc w:val="both"/>
    </w:pPr>
  </w:style>
  <w:style w:type="character" w:customStyle="1" w:styleId="BodyTextIndentChar">
    <w:name w:val="Body Text Indent Char"/>
    <w:basedOn w:val="DefaultParagraphFont"/>
    <w:link w:val="BodyTextIndent"/>
    <w:rsid w:val="0002780F"/>
    <w:rPr>
      <w:rFonts w:ascii=".VnTime" w:eastAsia="Times New Roman" w:hAnsi=".VnTime" w:cs="Times New Roman"/>
      <w:szCs w:val="20"/>
      <w:lang w:val="en-US"/>
    </w:rPr>
  </w:style>
  <w:style w:type="paragraph" w:styleId="BlockText">
    <w:name w:val="Block Text"/>
    <w:basedOn w:val="Normal"/>
    <w:rsid w:val="0002780F"/>
    <w:pPr>
      <w:spacing w:before="360" w:after="120"/>
      <w:ind w:left="2160" w:right="-720" w:hanging="1440"/>
      <w:jc w:val="both"/>
    </w:pPr>
  </w:style>
  <w:style w:type="table" w:styleId="TableGrid">
    <w:name w:val="Table Grid"/>
    <w:basedOn w:val="TableNormal"/>
    <w:uiPriority w:val="39"/>
    <w:rsid w:val="0002780F"/>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80F"/>
    <w:pPr>
      <w:spacing w:after="200" w:line="276" w:lineRule="auto"/>
      <w:ind w:left="720"/>
      <w:contextualSpacing/>
    </w:pPr>
    <w:rPr>
      <w:rFonts w:ascii="Calibri" w:eastAsia="Calibri" w:hAnsi="Calibri"/>
      <w:sz w:val="22"/>
      <w:szCs w:val="22"/>
    </w:rPr>
  </w:style>
  <w:style w:type="character" w:styleId="Hyperlink">
    <w:name w:val="Hyperlink"/>
    <w:unhideWhenUsed/>
    <w:rsid w:val="0002780F"/>
    <w:rPr>
      <w:color w:val="0000FF"/>
      <w:u w:val="single"/>
    </w:rPr>
  </w:style>
  <w:style w:type="paragraph" w:styleId="FootnoteText">
    <w:name w:val="footnote text"/>
    <w:aliases w:val="single space,footnote text,fn"/>
    <w:basedOn w:val="Normal"/>
    <w:link w:val="FootnoteTextChar"/>
    <w:uiPriority w:val="99"/>
    <w:unhideWhenUsed/>
    <w:rsid w:val="0002780F"/>
    <w:rPr>
      <w:rFonts w:ascii="Calibri" w:hAnsi="Calibri"/>
      <w:sz w:val="20"/>
    </w:rPr>
  </w:style>
  <w:style w:type="character" w:customStyle="1" w:styleId="FootnoteTextChar">
    <w:name w:val="Footnote Text Char"/>
    <w:aliases w:val="single space Char,footnote text Char,fn Char"/>
    <w:basedOn w:val="DefaultParagraphFont"/>
    <w:link w:val="FootnoteText"/>
    <w:uiPriority w:val="99"/>
    <w:rsid w:val="0002780F"/>
    <w:rPr>
      <w:rFonts w:ascii="Calibri" w:eastAsia="Times New Roman" w:hAnsi="Calibri" w:cs="Times New Roman"/>
      <w:sz w:val="20"/>
      <w:szCs w:val="20"/>
      <w:lang w:val="en-US"/>
    </w:rPr>
  </w:style>
  <w:style w:type="character" w:styleId="FootnoteReference">
    <w:name w:val="footnote reference"/>
    <w:aliases w:val="Footnote + Arial,10 pt,Black,Footnote"/>
    <w:uiPriority w:val="99"/>
    <w:unhideWhenUsed/>
    <w:qFormat/>
    <w:rsid w:val="0002780F"/>
    <w:rPr>
      <w:vertAlign w:val="superscript"/>
    </w:rPr>
  </w:style>
  <w:style w:type="paragraph" w:customStyle="1" w:styleId="01">
    <w:name w:val="01"/>
    <w:basedOn w:val="Normal"/>
    <w:qFormat/>
    <w:rsid w:val="0002780F"/>
    <w:pPr>
      <w:widowControl w:val="0"/>
      <w:spacing w:before="120" w:after="120"/>
      <w:ind w:firstLine="720"/>
      <w:jc w:val="both"/>
    </w:pPr>
    <w:rPr>
      <w:rFonts w:ascii="Times New Roman" w:hAnsi="Times New Roman"/>
      <w:color w:val="000000"/>
      <w:lang w:val="nl-NL"/>
    </w:rPr>
  </w:style>
  <w:style w:type="paragraph" w:customStyle="1" w:styleId="02">
    <w:name w:val="02"/>
    <w:basedOn w:val="Normal"/>
    <w:qFormat/>
    <w:rsid w:val="0002780F"/>
    <w:pPr>
      <w:widowControl w:val="0"/>
      <w:spacing w:before="120" w:after="120"/>
      <w:ind w:firstLine="720"/>
      <w:jc w:val="both"/>
    </w:pPr>
    <w:rPr>
      <w:rFonts w:ascii="Times New Roman" w:hAnsi="Times New Roman"/>
      <w:b/>
      <w:lang w:val="nl-NL"/>
    </w:rPr>
  </w:style>
  <w:style w:type="paragraph" w:customStyle="1" w:styleId="00">
    <w:name w:val="00"/>
    <w:basedOn w:val="Normal"/>
    <w:qFormat/>
    <w:rsid w:val="0002780F"/>
    <w:pPr>
      <w:autoSpaceDE w:val="0"/>
      <w:autoSpaceDN w:val="0"/>
      <w:adjustRightInd w:val="0"/>
      <w:spacing w:before="120" w:after="120"/>
      <w:jc w:val="both"/>
    </w:pPr>
    <w:rPr>
      <w:rFonts w:ascii="Times New Roman" w:hAnsi="Times New Roman"/>
      <w:b/>
      <w:bCs/>
      <w:szCs w:val="28"/>
      <w:lang w:val="sq-AL"/>
    </w:rPr>
  </w:style>
  <w:style w:type="paragraph" w:customStyle="1" w:styleId="011">
    <w:name w:val="011"/>
    <w:basedOn w:val="01"/>
    <w:qFormat/>
    <w:rsid w:val="0002780F"/>
    <w:pPr>
      <w:spacing w:line="360" w:lineRule="atLeast"/>
    </w:pPr>
  </w:style>
  <w:style w:type="character" w:customStyle="1" w:styleId="fontstyle01">
    <w:name w:val="fontstyle01"/>
    <w:rsid w:val="0002780F"/>
    <w:rPr>
      <w:rFonts w:ascii="Times New Roman" w:hAnsi="Times New Roman" w:cs="Times New Roman" w:hint="default"/>
      <w:b w:val="0"/>
      <w:bCs w:val="0"/>
      <w:i w:val="0"/>
      <w:iCs w:val="0"/>
      <w:color w:val="000000"/>
      <w:sz w:val="28"/>
      <w:szCs w:val="28"/>
    </w:rPr>
  </w:style>
  <w:style w:type="character" w:customStyle="1" w:styleId="fontstyle21">
    <w:name w:val="fontstyle21"/>
    <w:rsid w:val="0002780F"/>
    <w:rPr>
      <w:rFonts w:ascii="Times New Roman" w:hAnsi="Times New Roman" w:cs="Times New Roman" w:hint="default"/>
      <w:b w:val="0"/>
      <w:bCs w:val="0"/>
      <w:i/>
      <w:iCs/>
      <w:color w:val="000000"/>
      <w:sz w:val="28"/>
      <w:szCs w:val="28"/>
    </w:rPr>
  </w:style>
  <w:style w:type="paragraph" w:customStyle="1" w:styleId="x-scope">
    <w:name w:val="x-scope"/>
    <w:basedOn w:val="Normal"/>
    <w:rsid w:val="0002780F"/>
    <w:pPr>
      <w:spacing w:before="100" w:beforeAutospacing="1" w:after="100" w:afterAutospacing="1"/>
    </w:pPr>
    <w:rPr>
      <w:rFonts w:ascii="Times New Roman" w:hAnsi="Times New Roman"/>
      <w:sz w:val="24"/>
      <w:szCs w:val="24"/>
      <w:lang w:eastAsia="ja-JP"/>
    </w:rPr>
  </w:style>
  <w:style w:type="character" w:customStyle="1" w:styleId="qowt-font2-timesnewroman">
    <w:name w:val="qowt-font2-timesnewroman"/>
    <w:rsid w:val="0002780F"/>
  </w:style>
  <w:style w:type="paragraph" w:customStyle="1" w:styleId="vn6">
    <w:name w:val="vn_6"/>
    <w:basedOn w:val="Normal"/>
    <w:rsid w:val="00D572E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D767E8"/>
    <w:pPr>
      <w:tabs>
        <w:tab w:val="center" w:pos="4680"/>
        <w:tab w:val="right" w:pos="9360"/>
      </w:tabs>
    </w:pPr>
  </w:style>
  <w:style w:type="character" w:customStyle="1" w:styleId="HeaderChar">
    <w:name w:val="Header Char"/>
    <w:basedOn w:val="DefaultParagraphFont"/>
    <w:link w:val="Header"/>
    <w:uiPriority w:val="99"/>
    <w:rsid w:val="00D767E8"/>
    <w:rPr>
      <w:rFonts w:ascii=".VnTime" w:eastAsia="Times New Roman" w:hAnsi=".VnTime" w:cs="Times New Roman"/>
      <w:szCs w:val="20"/>
      <w:lang w:val="en-US"/>
    </w:rPr>
  </w:style>
  <w:style w:type="paragraph" w:styleId="Footer">
    <w:name w:val="footer"/>
    <w:basedOn w:val="Normal"/>
    <w:link w:val="FooterChar"/>
    <w:uiPriority w:val="99"/>
    <w:unhideWhenUsed/>
    <w:rsid w:val="00D767E8"/>
    <w:pPr>
      <w:tabs>
        <w:tab w:val="center" w:pos="4680"/>
        <w:tab w:val="right" w:pos="9360"/>
      </w:tabs>
    </w:pPr>
  </w:style>
  <w:style w:type="character" w:customStyle="1" w:styleId="FooterChar">
    <w:name w:val="Footer Char"/>
    <w:basedOn w:val="DefaultParagraphFont"/>
    <w:link w:val="Footer"/>
    <w:uiPriority w:val="99"/>
    <w:rsid w:val="00D767E8"/>
    <w:rPr>
      <w:rFonts w:ascii=".VnTime" w:eastAsia="Times New Roman" w:hAnsi=".VnTime" w:cs="Times New Roman"/>
      <w:szCs w:val="20"/>
      <w:lang w:val="en-US"/>
    </w:rPr>
  </w:style>
  <w:style w:type="paragraph" w:customStyle="1" w:styleId="Char4">
    <w:name w:val="Char4"/>
    <w:basedOn w:val="Normal"/>
    <w:semiHidden/>
    <w:rsid w:val="00DD6398"/>
    <w:pPr>
      <w:spacing w:after="160" w:line="240" w:lineRule="exact"/>
    </w:pPr>
    <w:rPr>
      <w:rFonts w:ascii="Arial" w:hAnsi="Arial" w:cs="Arial"/>
      <w:sz w:val="22"/>
      <w:szCs w:val="22"/>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unhideWhenUsed/>
    <w:qFormat/>
    <w:rsid w:val="00EF122C"/>
    <w:pPr>
      <w:spacing w:before="100" w:beforeAutospacing="1" w:after="100" w:afterAutospacing="1"/>
    </w:pPr>
    <w:rPr>
      <w:rFonts w:ascii="Times New Roman" w:hAnsi="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locked/>
    <w:rsid w:val="00A8733C"/>
    <w:rPr>
      <w:rFonts w:eastAsia="Times New Roman" w:cs="Times New Roman"/>
      <w:sz w:val="24"/>
      <w:szCs w:val="24"/>
      <w:lang w:val="en-US"/>
    </w:rPr>
  </w:style>
  <w:style w:type="paragraph" w:styleId="Revision">
    <w:name w:val="Revision"/>
    <w:hidden/>
    <w:uiPriority w:val="99"/>
    <w:semiHidden/>
    <w:rsid w:val="003E6DD0"/>
    <w:pPr>
      <w:spacing w:after="0" w:line="240" w:lineRule="auto"/>
    </w:pPr>
    <w:rPr>
      <w:rFonts w:ascii=".VnTime" w:eastAsia="Times New Roman" w:hAnsi=".VnTime" w:cs="Times New Roman"/>
      <w:szCs w:val="20"/>
      <w:lang w:val="en-US"/>
    </w:rPr>
  </w:style>
  <w:style w:type="table" w:customStyle="1" w:styleId="TableGrid1">
    <w:name w:val="Table Grid1"/>
    <w:basedOn w:val="TableNormal"/>
    <w:next w:val="TableGrid"/>
    <w:uiPriority w:val="39"/>
    <w:rsid w:val="00E300D0"/>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034D3"/>
    <w:pPr>
      <w:spacing w:before="100" w:beforeAutospacing="1" w:after="100" w:afterAutospacing="1"/>
    </w:pPr>
    <w:rPr>
      <w:rFonts w:ascii="Times New Roman" w:hAnsi="Times New Roman"/>
      <w:sz w:val="24"/>
      <w:szCs w:val="24"/>
      <w:lang w:val="vi-VN" w:eastAsia="vi-VN"/>
    </w:rPr>
  </w:style>
  <w:style w:type="character" w:customStyle="1" w:styleId="Heading4Char">
    <w:name w:val="Heading 4 Char"/>
    <w:basedOn w:val="DefaultParagraphFont"/>
    <w:link w:val="Heading4"/>
    <w:uiPriority w:val="9"/>
    <w:rsid w:val="009F7799"/>
    <w:rPr>
      <w:rFonts w:asciiTheme="majorHAnsi" w:eastAsiaTheme="majorEastAsia" w:hAnsiTheme="majorHAnsi" w:cstheme="majorBidi"/>
      <w:i/>
      <w:iCs/>
      <w:color w:val="2E74B5" w:themeColor="accent1" w:themeShade="B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7100">
      <w:bodyDiv w:val="1"/>
      <w:marLeft w:val="0"/>
      <w:marRight w:val="0"/>
      <w:marTop w:val="0"/>
      <w:marBottom w:val="0"/>
      <w:divBdr>
        <w:top w:val="none" w:sz="0" w:space="0" w:color="auto"/>
        <w:left w:val="none" w:sz="0" w:space="0" w:color="auto"/>
        <w:bottom w:val="none" w:sz="0" w:space="0" w:color="auto"/>
        <w:right w:val="none" w:sz="0" w:space="0" w:color="auto"/>
      </w:divBdr>
    </w:div>
    <w:div w:id="323582339">
      <w:bodyDiv w:val="1"/>
      <w:marLeft w:val="0"/>
      <w:marRight w:val="0"/>
      <w:marTop w:val="0"/>
      <w:marBottom w:val="0"/>
      <w:divBdr>
        <w:top w:val="none" w:sz="0" w:space="0" w:color="auto"/>
        <w:left w:val="none" w:sz="0" w:space="0" w:color="auto"/>
        <w:bottom w:val="none" w:sz="0" w:space="0" w:color="auto"/>
        <w:right w:val="none" w:sz="0" w:space="0" w:color="auto"/>
      </w:divBdr>
    </w:div>
    <w:div w:id="484055559">
      <w:bodyDiv w:val="1"/>
      <w:marLeft w:val="0"/>
      <w:marRight w:val="0"/>
      <w:marTop w:val="0"/>
      <w:marBottom w:val="0"/>
      <w:divBdr>
        <w:top w:val="none" w:sz="0" w:space="0" w:color="auto"/>
        <w:left w:val="none" w:sz="0" w:space="0" w:color="auto"/>
        <w:bottom w:val="none" w:sz="0" w:space="0" w:color="auto"/>
        <w:right w:val="none" w:sz="0" w:space="0" w:color="auto"/>
      </w:divBdr>
    </w:div>
    <w:div w:id="657076624">
      <w:bodyDiv w:val="1"/>
      <w:marLeft w:val="0"/>
      <w:marRight w:val="0"/>
      <w:marTop w:val="0"/>
      <w:marBottom w:val="0"/>
      <w:divBdr>
        <w:top w:val="none" w:sz="0" w:space="0" w:color="auto"/>
        <w:left w:val="none" w:sz="0" w:space="0" w:color="auto"/>
        <w:bottom w:val="none" w:sz="0" w:space="0" w:color="auto"/>
        <w:right w:val="none" w:sz="0" w:space="0" w:color="auto"/>
      </w:divBdr>
    </w:div>
    <w:div w:id="991566855">
      <w:bodyDiv w:val="1"/>
      <w:marLeft w:val="0"/>
      <w:marRight w:val="0"/>
      <w:marTop w:val="0"/>
      <w:marBottom w:val="0"/>
      <w:divBdr>
        <w:top w:val="none" w:sz="0" w:space="0" w:color="auto"/>
        <w:left w:val="none" w:sz="0" w:space="0" w:color="auto"/>
        <w:bottom w:val="none" w:sz="0" w:space="0" w:color="auto"/>
        <w:right w:val="none" w:sz="0" w:space="0" w:color="auto"/>
      </w:divBdr>
    </w:div>
    <w:div w:id="1413311799">
      <w:bodyDiv w:val="1"/>
      <w:marLeft w:val="0"/>
      <w:marRight w:val="0"/>
      <w:marTop w:val="0"/>
      <w:marBottom w:val="0"/>
      <w:divBdr>
        <w:top w:val="none" w:sz="0" w:space="0" w:color="auto"/>
        <w:left w:val="none" w:sz="0" w:space="0" w:color="auto"/>
        <w:bottom w:val="none" w:sz="0" w:space="0" w:color="auto"/>
        <w:right w:val="none" w:sz="0" w:space="0" w:color="auto"/>
      </w:divBdr>
    </w:div>
    <w:div w:id="1841385845">
      <w:bodyDiv w:val="1"/>
      <w:marLeft w:val="0"/>
      <w:marRight w:val="0"/>
      <w:marTop w:val="0"/>
      <w:marBottom w:val="0"/>
      <w:divBdr>
        <w:top w:val="none" w:sz="0" w:space="0" w:color="auto"/>
        <w:left w:val="none" w:sz="0" w:space="0" w:color="auto"/>
        <w:bottom w:val="none" w:sz="0" w:space="0" w:color="auto"/>
        <w:right w:val="none" w:sz="0" w:space="0" w:color="auto"/>
      </w:divBdr>
    </w:div>
    <w:div w:id="199899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Luat-Duoc-2016-309815.aspx" TargetMode="External"/><Relationship Id="rId13" Type="http://schemas.openxmlformats.org/officeDocument/2006/relationships/hyperlink" Target="https://thuvienphapluat.vn/van-ban/The-thao-Y-te/Luat-Duoc-2016-309815.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he-thao-Y-te/Nghi-dinh-54-2017-ND-CP-huong-dan-Luat-duoc-321256.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e-thao-Y-te/Luat-Duoc-2016-309815.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The-thao-Y-te/Luat-Duoc-2016-309815.aspx" TargetMode="External"/><Relationship Id="rId4" Type="http://schemas.openxmlformats.org/officeDocument/2006/relationships/settings" Target="settings.xml"/><Relationship Id="rId9" Type="http://schemas.openxmlformats.org/officeDocument/2006/relationships/hyperlink" Target="https://thuvienphapluat.vn/van-ban/The-thao-Y-te/Nghi-dinh-54-2017-ND-CP-huong-dan-Luat-duoc-321256.aspx" TargetMode="External"/><Relationship Id="rId14" Type="http://schemas.openxmlformats.org/officeDocument/2006/relationships/hyperlink" Target="https://thuvienphapluat.vn/documents/law.aspx?id=E=pNM01qUTTm&amp;m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0EFE-8CDB-4821-9975-7719B3B7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1539</Words>
  <Characters>8778</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THANH GIONG</cp:lastModifiedBy>
  <cp:revision>4</cp:revision>
  <cp:lastPrinted>2025-04-29T02:34:00Z</cp:lastPrinted>
  <dcterms:created xsi:type="dcterms:W3CDTF">2025-05-12T01:41:00Z</dcterms:created>
  <dcterms:modified xsi:type="dcterms:W3CDTF">2025-05-12T05:43:00Z</dcterms:modified>
</cp:coreProperties>
</file>